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21900" w14:textId="385DFFCE" w:rsidR="004440D8" w:rsidRPr="002357A8" w:rsidRDefault="004440D8" w:rsidP="004440D8">
      <w:pPr>
        <w:pStyle w:val="Heading2"/>
        <w:rPr>
          <w:lang w:val="en-GB"/>
        </w:rPr>
      </w:pPr>
      <w:bookmarkStart w:id="0" w:name="_Toc38027697"/>
      <w:r w:rsidRPr="002357A8">
        <w:rPr>
          <w:lang w:val="en-GB"/>
        </w:rPr>
        <w:t>European D</w:t>
      </w:r>
      <w:r w:rsidR="00FE0585" w:rsidRPr="002357A8">
        <w:rPr>
          <w:lang w:val="en-GB"/>
        </w:rPr>
        <w:t xml:space="preserve">igital Innovation Hubs and </w:t>
      </w:r>
      <w:r w:rsidR="006F450C" w:rsidRPr="002357A8">
        <w:rPr>
          <w:lang w:val="en-GB"/>
        </w:rPr>
        <w:t>how they differ from the DIHs</w:t>
      </w:r>
    </w:p>
    <w:p w14:paraId="5D7A077E" w14:textId="384395DF" w:rsidR="006F450C" w:rsidRPr="002357A8" w:rsidRDefault="006F450C" w:rsidP="002B5BD0">
      <w:pPr>
        <w:rPr>
          <w:b/>
          <w:bCs/>
          <w:i/>
          <w:iCs/>
          <w:sz w:val="22"/>
          <w:szCs w:val="22"/>
          <w:lang w:val="en-GB"/>
        </w:rPr>
      </w:pPr>
      <w:r w:rsidRPr="002357A8">
        <w:rPr>
          <w:b/>
          <w:bCs/>
          <w:i/>
          <w:iCs/>
          <w:sz w:val="22"/>
          <w:szCs w:val="22"/>
          <w:lang w:val="en-GB"/>
        </w:rPr>
        <w:t xml:space="preserve">Note: </w:t>
      </w:r>
      <w:r w:rsidR="002B5BD0" w:rsidRPr="002357A8">
        <w:rPr>
          <w:b/>
          <w:bCs/>
          <w:i/>
          <w:iCs/>
          <w:sz w:val="22"/>
          <w:szCs w:val="22"/>
          <w:lang w:val="en-GB"/>
        </w:rPr>
        <w:t xml:space="preserve">This </w:t>
      </w:r>
      <w:r w:rsidR="00844DB8" w:rsidRPr="002357A8">
        <w:rPr>
          <w:b/>
          <w:bCs/>
          <w:i/>
          <w:iCs/>
          <w:sz w:val="22"/>
          <w:szCs w:val="22"/>
          <w:lang w:val="en-GB"/>
        </w:rPr>
        <w:t xml:space="preserve">article only describes the understanding and opinion of the </w:t>
      </w:r>
      <w:r w:rsidR="00CE1506" w:rsidRPr="002357A8">
        <w:rPr>
          <w:b/>
          <w:bCs/>
          <w:i/>
          <w:iCs/>
          <w:sz w:val="22"/>
          <w:szCs w:val="22"/>
          <w:lang w:val="en-GB"/>
        </w:rPr>
        <w:t>authors</w:t>
      </w:r>
      <w:r w:rsidR="00844DB8" w:rsidRPr="002357A8">
        <w:rPr>
          <w:b/>
          <w:bCs/>
          <w:i/>
          <w:iCs/>
          <w:sz w:val="22"/>
          <w:szCs w:val="22"/>
          <w:lang w:val="en-GB"/>
        </w:rPr>
        <w:t xml:space="preserve">. </w:t>
      </w:r>
      <w:r w:rsidR="00B76429" w:rsidRPr="002357A8">
        <w:rPr>
          <w:b/>
          <w:bCs/>
          <w:i/>
          <w:iCs/>
          <w:sz w:val="22"/>
          <w:szCs w:val="22"/>
          <w:lang w:val="en-GB"/>
        </w:rPr>
        <w:t>It does not necessarily represent the view</w:t>
      </w:r>
      <w:r w:rsidR="002B5BD0" w:rsidRPr="002357A8">
        <w:rPr>
          <w:b/>
          <w:bCs/>
          <w:i/>
          <w:iCs/>
          <w:sz w:val="22"/>
          <w:szCs w:val="22"/>
          <w:lang w:val="en-GB"/>
        </w:rPr>
        <w:t>s</w:t>
      </w:r>
      <w:r w:rsidR="00B76429" w:rsidRPr="002357A8">
        <w:rPr>
          <w:b/>
          <w:bCs/>
          <w:i/>
          <w:iCs/>
          <w:sz w:val="22"/>
          <w:szCs w:val="22"/>
          <w:lang w:val="en-GB"/>
        </w:rPr>
        <w:t xml:space="preserve"> o</w:t>
      </w:r>
      <w:r w:rsidR="002B5BD0" w:rsidRPr="002357A8">
        <w:rPr>
          <w:b/>
          <w:bCs/>
          <w:i/>
          <w:iCs/>
          <w:sz w:val="22"/>
          <w:szCs w:val="22"/>
          <w:lang w:val="en-GB"/>
        </w:rPr>
        <w:t>f</w:t>
      </w:r>
      <w:r w:rsidR="00B76429" w:rsidRPr="002357A8">
        <w:rPr>
          <w:b/>
          <w:bCs/>
          <w:i/>
          <w:iCs/>
          <w:sz w:val="22"/>
          <w:szCs w:val="22"/>
          <w:lang w:val="en-GB"/>
        </w:rPr>
        <w:t xml:space="preserve"> the EC. </w:t>
      </w:r>
    </w:p>
    <w:p w14:paraId="14D21B27" w14:textId="5565497D" w:rsidR="006320FF" w:rsidRPr="002357A8" w:rsidRDefault="00D01BC4" w:rsidP="004440D8">
      <w:pPr>
        <w:pStyle w:val="BodyText"/>
      </w:pPr>
      <w:r w:rsidRPr="002357A8">
        <w:rPr>
          <w:noProof/>
        </w:rPr>
        <w:drawing>
          <wp:anchor distT="0" distB="0" distL="114300" distR="114300" simplePos="0" relativeHeight="251658240" behindDoc="0" locked="0" layoutInCell="1" allowOverlap="1" wp14:anchorId="27E84919" wp14:editId="49B1FA9B">
            <wp:simplePos x="0" y="0"/>
            <wp:positionH relativeFrom="column">
              <wp:posOffset>2730650</wp:posOffset>
            </wp:positionH>
            <wp:positionV relativeFrom="paragraph">
              <wp:posOffset>1401445</wp:posOffset>
            </wp:positionV>
            <wp:extent cx="3088005" cy="1511935"/>
            <wp:effectExtent l="0" t="0" r="0" b="0"/>
            <wp:wrapSquare wrapText="bothSides"/>
            <wp:docPr id="5" name="Picture 5" descr="A screen 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 shot of a computer&#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8005" cy="1511935"/>
                    </a:xfrm>
                    <a:prstGeom prst="rect">
                      <a:avLst/>
                    </a:prstGeom>
                  </pic:spPr>
                </pic:pic>
              </a:graphicData>
            </a:graphic>
            <wp14:sizeRelH relativeFrom="page">
              <wp14:pctWidth>0</wp14:pctWidth>
            </wp14:sizeRelH>
            <wp14:sizeRelV relativeFrom="page">
              <wp14:pctHeight>0</wp14:pctHeight>
            </wp14:sizeRelV>
          </wp:anchor>
        </w:drawing>
      </w:r>
      <w:r w:rsidR="00514A95" w:rsidRPr="002357A8">
        <w:t xml:space="preserve">Digital </w:t>
      </w:r>
      <w:r w:rsidR="00022EC1" w:rsidRPr="002357A8">
        <w:t xml:space="preserve">Innovation Hubs </w:t>
      </w:r>
      <w:r w:rsidR="000A72FC" w:rsidRPr="002357A8">
        <w:t>(DIHs)</w:t>
      </w:r>
      <w:r w:rsidR="00505157" w:rsidRPr="002357A8">
        <w:t xml:space="preserve"> </w:t>
      </w:r>
      <w:r w:rsidR="00C92921" w:rsidRPr="002357A8">
        <w:t>have been one of the key mechanisms of the E</w:t>
      </w:r>
      <w:r w:rsidR="0077014B" w:rsidRPr="002357A8">
        <w:t xml:space="preserve">uropean </w:t>
      </w:r>
      <w:r w:rsidR="00C92921" w:rsidRPr="002357A8">
        <w:t>C</w:t>
      </w:r>
      <w:r w:rsidR="0077014B" w:rsidRPr="002357A8">
        <w:t>ommission</w:t>
      </w:r>
      <w:r w:rsidR="000A72FC" w:rsidRPr="002357A8">
        <w:t xml:space="preserve"> </w:t>
      </w:r>
      <w:r w:rsidR="0077014B" w:rsidRPr="002357A8">
        <w:t xml:space="preserve">and Member States </w:t>
      </w:r>
      <w:r w:rsidR="000A72FC" w:rsidRPr="002357A8">
        <w:t>to support the digitization and adoption of advanced technologies of EU industry</w:t>
      </w:r>
      <w:r w:rsidR="008C6E84" w:rsidRPr="002357A8">
        <w:t xml:space="preserve">. </w:t>
      </w:r>
      <w:r w:rsidR="00683C0A" w:rsidRPr="002357A8">
        <w:t>With the new upcoming Digital Europe Programme, t</w:t>
      </w:r>
      <w:r w:rsidR="004440D8" w:rsidRPr="002357A8">
        <w:t>he European Commission has</w:t>
      </w:r>
      <w:r w:rsidR="00FB5FFC" w:rsidRPr="002357A8">
        <w:t xml:space="preserve"> proposed </w:t>
      </w:r>
      <w:r w:rsidR="00A64991" w:rsidRPr="002357A8">
        <w:t xml:space="preserve">and started the process of creating a </w:t>
      </w:r>
      <w:r w:rsidR="00752CC4" w:rsidRPr="002357A8">
        <w:t xml:space="preserve">network of </w:t>
      </w:r>
      <w:r w:rsidR="007071C3" w:rsidRPr="002357A8">
        <w:t xml:space="preserve">approximately 200 </w:t>
      </w:r>
      <w:r w:rsidR="00752CC4" w:rsidRPr="002357A8">
        <w:t>European Digital Innovation Hubs</w:t>
      </w:r>
      <w:r w:rsidR="002B5BD0" w:rsidRPr="002357A8">
        <w:t xml:space="preserve"> (EDIHs)</w:t>
      </w:r>
      <w:r w:rsidR="00B26A1D" w:rsidRPr="002357A8">
        <w:t xml:space="preserve"> (</w:t>
      </w:r>
      <w:r w:rsidR="00B26A1D" w:rsidRPr="002357A8">
        <w:rPr>
          <w:i/>
          <w:iCs/>
        </w:rPr>
        <w:t xml:space="preserve">see EC </w:t>
      </w:r>
      <w:r w:rsidR="00C373A5" w:rsidRPr="002357A8">
        <w:rPr>
          <w:i/>
          <w:iCs/>
        </w:rPr>
        <w:t xml:space="preserve">draft working document on EDIHs in DEP </w:t>
      </w:r>
      <w:hyperlink r:id="rId13" w:history="1">
        <w:r w:rsidR="00B26A1D" w:rsidRPr="002357A8">
          <w:rPr>
            <w:rStyle w:val="Hyperlink"/>
            <w:i/>
            <w:iCs/>
          </w:rPr>
          <w:t>here</w:t>
        </w:r>
      </w:hyperlink>
      <w:r w:rsidR="00B26A1D" w:rsidRPr="002357A8">
        <w:t>)</w:t>
      </w:r>
      <w:r w:rsidR="006A7422" w:rsidRPr="002357A8">
        <w:t xml:space="preserve">. </w:t>
      </w:r>
      <w:r w:rsidR="00752CC4" w:rsidRPr="002357A8">
        <w:t xml:space="preserve"> </w:t>
      </w:r>
      <w:r w:rsidR="008A2890" w:rsidRPr="002357A8">
        <w:t>The EDIHs are envisioned as a one-stop-shop that</w:t>
      </w:r>
      <w:r w:rsidR="00DA04C6" w:rsidRPr="002357A8">
        <w:t xml:space="preserve"> supports </w:t>
      </w:r>
      <w:r w:rsidR="00214E20" w:rsidRPr="002357A8">
        <w:t xml:space="preserve">industry </w:t>
      </w:r>
      <w:r w:rsidR="00C63F72" w:rsidRPr="002357A8">
        <w:t>and public sector in their digital transformation and the</w:t>
      </w:r>
      <w:r w:rsidR="00DA04C6" w:rsidRPr="002357A8">
        <w:t xml:space="preserve"> </w:t>
      </w:r>
      <w:r w:rsidR="00856112" w:rsidRPr="002357A8">
        <w:t>uptake</w:t>
      </w:r>
      <w:r w:rsidR="002B5BD0" w:rsidRPr="002357A8">
        <w:t xml:space="preserve"> of</w:t>
      </w:r>
      <w:r w:rsidR="00DA04C6" w:rsidRPr="002357A8">
        <w:t xml:space="preserve"> advanced technologies such as AI, HP</w:t>
      </w:r>
      <w:r w:rsidR="002B5BD0" w:rsidRPr="002357A8">
        <w:t>C</w:t>
      </w:r>
      <w:r w:rsidR="00DA04C6" w:rsidRPr="002357A8">
        <w:t>,</w:t>
      </w:r>
      <w:r w:rsidR="00987378" w:rsidRPr="002357A8">
        <w:t xml:space="preserve"> and cybersecurity</w:t>
      </w:r>
      <w:r w:rsidR="00C63F72" w:rsidRPr="002357A8">
        <w:t xml:space="preserve">. </w:t>
      </w:r>
      <w:r w:rsidR="00DC2758" w:rsidRPr="002357A8">
        <w:t>The EDIHs</w:t>
      </w:r>
      <w:r w:rsidR="0049678C" w:rsidRPr="002357A8">
        <w:t xml:space="preserve">, </w:t>
      </w:r>
      <w:r w:rsidR="004C7413" w:rsidRPr="002357A8">
        <w:t xml:space="preserve">financially </w:t>
      </w:r>
      <w:r w:rsidR="0049678C" w:rsidRPr="002357A8">
        <w:t>supported by the DEP and the Member States</w:t>
      </w:r>
      <w:r w:rsidR="00A41E17" w:rsidRPr="002357A8">
        <w:t>,</w:t>
      </w:r>
      <w:r w:rsidR="00C30B32" w:rsidRPr="002357A8">
        <w:t xml:space="preserve"> represent a new entity in the EU DIH ecosystem. </w:t>
      </w:r>
    </w:p>
    <w:p w14:paraId="0035E614" w14:textId="6C4BD761" w:rsidR="004440D8" w:rsidRPr="002357A8" w:rsidRDefault="006320FF" w:rsidP="004440D8">
      <w:pPr>
        <w:pStyle w:val="BodyText"/>
      </w:pPr>
      <w:r w:rsidRPr="002357A8">
        <w:t xml:space="preserve">To support the </w:t>
      </w:r>
      <w:r w:rsidR="000D3B8E" w:rsidRPr="002357A8">
        <w:t xml:space="preserve">(robotics) </w:t>
      </w:r>
      <w:r w:rsidRPr="002357A8">
        <w:t xml:space="preserve">Innovation Action projects, </w:t>
      </w:r>
      <w:r w:rsidR="00C97C68" w:rsidRPr="002357A8">
        <w:t xml:space="preserve">this paper aims to identify and describe </w:t>
      </w:r>
      <w:r w:rsidR="004440D8" w:rsidRPr="002357A8">
        <w:t>a number of characteristics that distinguish EDIH from DIH</w:t>
      </w:r>
      <w:r w:rsidR="007A4081" w:rsidRPr="002357A8">
        <w:t xml:space="preserve">. This effort is the result of the work of the consortium partners in RODIN as well as other projects </w:t>
      </w:r>
      <w:r w:rsidR="002B5BD0" w:rsidRPr="002357A8">
        <w:t>such as</w:t>
      </w:r>
      <w:r w:rsidR="007A4081" w:rsidRPr="002357A8">
        <w:t xml:space="preserve"> DIHNET and BOWI. </w:t>
      </w:r>
      <w:r w:rsidR="00911C2B" w:rsidRPr="002357A8">
        <w:t>Looking at the EDIHs in relation to the currently existing DIHs, the following observations can be made:</w:t>
      </w:r>
    </w:p>
    <w:p w14:paraId="56E9AF95" w14:textId="166A7DCA" w:rsidR="004D13FA" w:rsidRPr="002357A8" w:rsidRDefault="004D13FA" w:rsidP="001A2337">
      <w:pPr>
        <w:pStyle w:val="BodyText"/>
        <w:numPr>
          <w:ilvl w:val="0"/>
          <w:numId w:val="5"/>
        </w:numPr>
      </w:pPr>
      <w:r w:rsidRPr="002357A8">
        <w:t xml:space="preserve">The EDIHs will </w:t>
      </w:r>
      <w:r w:rsidR="00693949" w:rsidRPr="002357A8">
        <w:t xml:space="preserve">be a formal entity, as they are embedded in the legal DEP framework. </w:t>
      </w:r>
      <w:r w:rsidR="008D7492" w:rsidRPr="002357A8">
        <w:t xml:space="preserve">EDIH will be set up on a legal basis </w:t>
      </w:r>
      <w:r w:rsidR="009A0780" w:rsidRPr="002357A8">
        <w:t xml:space="preserve">– the </w:t>
      </w:r>
      <w:hyperlink r:id="rId14" w:history="1">
        <w:r w:rsidR="009A0780" w:rsidRPr="002357A8">
          <w:rPr>
            <w:rStyle w:val="Hyperlink"/>
          </w:rPr>
          <w:t>DEP Regulation</w:t>
        </w:r>
      </w:hyperlink>
      <w:r w:rsidR="009A0780" w:rsidRPr="002357A8">
        <w:t xml:space="preserve"> - </w:t>
      </w:r>
      <w:r w:rsidR="008D7492" w:rsidRPr="002357A8">
        <w:t>since they are a formal collaboration between the EC and Member States</w:t>
      </w:r>
      <w:r w:rsidR="002B5BD0" w:rsidRPr="002357A8">
        <w:t xml:space="preserve">. In contrast </w:t>
      </w:r>
      <w:r w:rsidR="00693949" w:rsidRPr="002357A8">
        <w:t>DIHs do not have a formal status</w:t>
      </w:r>
      <w:r w:rsidR="00D360E0" w:rsidRPr="002357A8">
        <w:t xml:space="preserve"> and definition</w:t>
      </w:r>
      <w:r w:rsidR="004E7205" w:rsidRPr="002357A8">
        <w:t xml:space="preserve">, </w:t>
      </w:r>
      <w:r w:rsidR="002B5BD0" w:rsidRPr="002357A8">
        <w:t>simply</w:t>
      </w:r>
      <w:r w:rsidR="004E7205" w:rsidRPr="002357A8">
        <w:t xml:space="preserve"> an informal </w:t>
      </w:r>
      <w:r w:rsidR="00C62DF7" w:rsidRPr="002357A8">
        <w:t xml:space="preserve">status </w:t>
      </w:r>
      <w:r w:rsidR="002B5BD0" w:rsidRPr="002357A8">
        <w:t>from</w:t>
      </w:r>
      <w:r w:rsidR="00C62DF7" w:rsidRPr="002357A8">
        <w:t xml:space="preserve"> being included in the DIH catalogue</w:t>
      </w:r>
      <w:r w:rsidR="00932D82" w:rsidRPr="002357A8">
        <w:t>.</w:t>
      </w:r>
    </w:p>
    <w:p w14:paraId="17DD5702" w14:textId="0E94EBC7" w:rsidR="001A2337" w:rsidRPr="002357A8" w:rsidRDefault="001A2337" w:rsidP="001A2337">
      <w:pPr>
        <w:pStyle w:val="BodyText"/>
        <w:numPr>
          <w:ilvl w:val="0"/>
          <w:numId w:val="5"/>
        </w:numPr>
      </w:pPr>
      <w:r w:rsidRPr="002357A8">
        <w:t xml:space="preserve">EDIH have both a regional and European wide function whereas DIH are primarily regional. The European aspect of the EDIH is dedicated to connecting expertise across Europe and providing access to European resources and brokerage for local organisations within their region. It is expected that </w:t>
      </w:r>
      <w:r w:rsidR="002B5BD0" w:rsidRPr="002357A8">
        <w:t xml:space="preserve">the </w:t>
      </w:r>
      <w:r w:rsidRPr="002357A8">
        <w:t>European aspect will be proactively targeted by the EDIHs.</w:t>
      </w:r>
    </w:p>
    <w:p w14:paraId="68B7B094" w14:textId="3BFAE3BF" w:rsidR="00D01BC4" w:rsidRPr="002357A8" w:rsidRDefault="00D01BC4" w:rsidP="004440D8">
      <w:pPr>
        <w:pStyle w:val="BodyText"/>
        <w:numPr>
          <w:ilvl w:val="0"/>
          <w:numId w:val="5"/>
        </w:numPr>
      </w:pPr>
      <w:r w:rsidRPr="002357A8">
        <w:rPr>
          <w:noProof/>
        </w:rPr>
        <w:drawing>
          <wp:anchor distT="0" distB="0" distL="114300" distR="114300" simplePos="0" relativeHeight="251659264" behindDoc="0" locked="0" layoutInCell="1" allowOverlap="1" wp14:anchorId="01B9A4D8" wp14:editId="276B8774">
            <wp:simplePos x="0" y="0"/>
            <wp:positionH relativeFrom="column">
              <wp:posOffset>2981774</wp:posOffset>
            </wp:positionH>
            <wp:positionV relativeFrom="paragraph">
              <wp:posOffset>462280</wp:posOffset>
            </wp:positionV>
            <wp:extent cx="2804160" cy="120713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04160" cy="1207135"/>
                    </a:xfrm>
                    <a:prstGeom prst="rect">
                      <a:avLst/>
                    </a:prstGeom>
                  </pic:spPr>
                </pic:pic>
              </a:graphicData>
            </a:graphic>
            <wp14:sizeRelH relativeFrom="page">
              <wp14:pctWidth>0</wp14:pctWidth>
            </wp14:sizeRelH>
            <wp14:sizeRelV relativeFrom="page">
              <wp14:pctHeight>0</wp14:pctHeight>
            </wp14:sizeRelV>
          </wp:anchor>
        </w:drawing>
      </w:r>
      <w:r w:rsidR="00D45B5C" w:rsidRPr="002357A8">
        <w:t>One of the primary activities of EDIH is in managing the delivery of expertise and deployment of digital and green technologies</w:t>
      </w:r>
      <w:r w:rsidR="00E53F5F" w:rsidRPr="002357A8">
        <w:t xml:space="preserve"> rather than </w:t>
      </w:r>
      <w:r w:rsidR="002B5BD0" w:rsidRPr="002357A8">
        <w:t xml:space="preserve">delivering </w:t>
      </w:r>
      <w:r w:rsidR="00E53F5F" w:rsidRPr="002357A8">
        <w:t>lower TRL R&amp;I activity</w:t>
      </w:r>
      <w:r w:rsidR="00D45B5C" w:rsidRPr="002357A8">
        <w:t xml:space="preserve">. This demands greater focus on support </w:t>
      </w:r>
      <w:r w:rsidR="002B5BD0" w:rsidRPr="002357A8">
        <w:t>for the</w:t>
      </w:r>
      <w:r w:rsidR="00D45B5C" w:rsidRPr="002357A8">
        <w:t xml:space="preserve"> implementation of advanced technologies </w:t>
      </w:r>
      <w:r w:rsidR="002B5BD0" w:rsidRPr="002357A8">
        <w:t>in contrast to that</w:t>
      </w:r>
      <w:r w:rsidR="00D45B5C" w:rsidRPr="002357A8">
        <w:t xml:space="preserve"> found in DIHs, where the focus is</w:t>
      </w:r>
      <w:r w:rsidR="002B5BD0" w:rsidRPr="002357A8">
        <w:t>, most often,</w:t>
      </w:r>
      <w:r w:rsidR="00D45B5C" w:rsidRPr="002357A8">
        <w:t xml:space="preserve"> on experimentation with the innovation industry.</w:t>
      </w:r>
      <w:r w:rsidR="009C5D07" w:rsidRPr="002357A8">
        <w:t xml:space="preserve"> EDIHs’ main impact is therefore on the Early and Late Majority </w:t>
      </w:r>
      <w:r w:rsidR="002B5BD0" w:rsidRPr="002357A8">
        <w:t>of</w:t>
      </w:r>
      <w:r w:rsidR="009C5D07" w:rsidRPr="002357A8">
        <w:t xml:space="preserve"> technology deployment.</w:t>
      </w:r>
      <w:r w:rsidRPr="002357A8">
        <w:rPr>
          <w:noProof/>
        </w:rPr>
        <w:t xml:space="preserve"> </w:t>
      </w:r>
    </w:p>
    <w:p w14:paraId="67274476" w14:textId="07CFA44C" w:rsidR="004440D8" w:rsidRPr="002357A8" w:rsidRDefault="000E1786" w:rsidP="004440D8">
      <w:pPr>
        <w:pStyle w:val="BodyText"/>
        <w:numPr>
          <w:ilvl w:val="0"/>
          <w:numId w:val="5"/>
        </w:numPr>
      </w:pPr>
      <w:r w:rsidRPr="002357A8">
        <w:t xml:space="preserve">The </w:t>
      </w:r>
      <w:r w:rsidR="004440D8" w:rsidRPr="002357A8">
        <w:t xml:space="preserve">EDIH </w:t>
      </w:r>
      <w:r w:rsidRPr="002357A8">
        <w:t xml:space="preserve">strategy </w:t>
      </w:r>
      <w:r w:rsidR="004440D8" w:rsidRPr="002357A8">
        <w:t>ha</w:t>
      </w:r>
      <w:r w:rsidRPr="002357A8">
        <w:t>s</w:t>
      </w:r>
      <w:r w:rsidR="004440D8" w:rsidRPr="002357A8">
        <w:t xml:space="preserve"> a remit that covers both </w:t>
      </w:r>
      <w:r w:rsidR="00777C62" w:rsidRPr="002357A8">
        <w:t>industry at large</w:t>
      </w:r>
      <w:r w:rsidR="004440D8" w:rsidRPr="002357A8">
        <w:t xml:space="preserve"> and public sectors.</w:t>
      </w:r>
      <w:r w:rsidR="00777C62" w:rsidRPr="002357A8">
        <w:t xml:space="preserve"> </w:t>
      </w:r>
      <w:r w:rsidR="00001F84" w:rsidRPr="002357A8">
        <w:t>It is expected that t</w:t>
      </w:r>
      <w:r w:rsidR="00BC7120" w:rsidRPr="002357A8">
        <w:t xml:space="preserve">here will be a significant number of EDIHs that </w:t>
      </w:r>
      <w:r w:rsidR="005A2363" w:rsidRPr="002357A8">
        <w:t xml:space="preserve">focus on the public sector. </w:t>
      </w:r>
      <w:r w:rsidR="00777C62" w:rsidRPr="002357A8">
        <w:t>DIHs</w:t>
      </w:r>
      <w:r w:rsidR="007F2C21" w:rsidRPr="002357A8">
        <w:t>,</w:t>
      </w:r>
      <w:r w:rsidR="00777C62" w:rsidRPr="002357A8">
        <w:t xml:space="preserve"> in contrast</w:t>
      </w:r>
      <w:r w:rsidR="007F2C21" w:rsidRPr="002357A8">
        <w:t>,</w:t>
      </w:r>
      <w:r w:rsidR="00777C62" w:rsidRPr="002357A8">
        <w:t xml:space="preserve"> are often </w:t>
      </w:r>
      <w:r w:rsidR="00410BDD" w:rsidRPr="002357A8">
        <w:t xml:space="preserve">more </w:t>
      </w:r>
      <w:r w:rsidR="00777C62" w:rsidRPr="002357A8">
        <w:t>focused on innovative industry players (</w:t>
      </w:r>
      <w:r w:rsidR="002B5BD0" w:rsidRPr="002357A8">
        <w:t xml:space="preserve">with the ability to </w:t>
      </w:r>
      <w:r w:rsidR="00777C62" w:rsidRPr="002357A8">
        <w:t>address other groups).</w:t>
      </w:r>
    </w:p>
    <w:p w14:paraId="687A4638" w14:textId="53615FA6" w:rsidR="004440D8" w:rsidRPr="002357A8" w:rsidRDefault="004440D8" w:rsidP="00864E0D">
      <w:pPr>
        <w:pStyle w:val="BodyText"/>
        <w:numPr>
          <w:ilvl w:val="0"/>
          <w:numId w:val="5"/>
        </w:numPr>
      </w:pPr>
      <w:r w:rsidRPr="002357A8">
        <w:t>EDIH are designated by Member States and selected by the European Commission.</w:t>
      </w:r>
      <w:r w:rsidR="007B322F" w:rsidRPr="002357A8">
        <w:t xml:space="preserve"> This involves a specific procedure that is expected to result in the selection of approximately 200 EDIHs across Europe</w:t>
      </w:r>
      <w:r w:rsidR="00462019" w:rsidRPr="002357A8">
        <w:t xml:space="preserve"> (roughly </w:t>
      </w:r>
      <w:r w:rsidR="002B5BD0" w:rsidRPr="002357A8">
        <w:t>aligned with</w:t>
      </w:r>
      <w:r w:rsidR="00462019" w:rsidRPr="002357A8">
        <w:t xml:space="preserve"> the NUTS-2 regions)</w:t>
      </w:r>
      <w:r w:rsidR="00F60C0E" w:rsidRPr="002357A8">
        <w:t>.</w:t>
      </w:r>
      <w:r w:rsidR="005C6820" w:rsidRPr="002357A8">
        <w:t xml:space="preserve"> </w:t>
      </w:r>
      <w:r w:rsidR="001900E6" w:rsidRPr="002357A8">
        <w:t xml:space="preserve">The selection procedure also implies the branding of the EDIHs as distinctive entities which will also undergo regular KPI checks. </w:t>
      </w:r>
      <w:r w:rsidR="00462019" w:rsidRPr="002357A8">
        <w:t xml:space="preserve">This differs from the current DIHs which were often </w:t>
      </w:r>
      <w:proofErr w:type="gramStart"/>
      <w:r w:rsidR="00462019" w:rsidRPr="002357A8">
        <w:t>bottom up</w:t>
      </w:r>
      <w:proofErr w:type="gramEnd"/>
      <w:r w:rsidR="00462019" w:rsidRPr="002357A8">
        <w:t xml:space="preserve"> initiatives or connected to national strategies. </w:t>
      </w:r>
    </w:p>
    <w:p w14:paraId="35E4CD01" w14:textId="76EB4B8A" w:rsidR="004440D8" w:rsidRPr="002357A8" w:rsidRDefault="004440D8" w:rsidP="004440D8">
      <w:pPr>
        <w:pStyle w:val="BodyText"/>
        <w:numPr>
          <w:ilvl w:val="0"/>
          <w:numId w:val="5"/>
        </w:numPr>
      </w:pPr>
      <w:r w:rsidRPr="002357A8">
        <w:lastRenderedPageBreak/>
        <w:t xml:space="preserve">Funding for EDIH is provided 50:50 </w:t>
      </w:r>
      <w:r w:rsidR="00637D55" w:rsidRPr="002357A8">
        <w:t>(</w:t>
      </w:r>
      <w:r w:rsidR="004D13FA" w:rsidRPr="002357A8">
        <w:t>salary</w:t>
      </w:r>
      <w:r w:rsidR="00637D55" w:rsidRPr="002357A8">
        <w:t xml:space="preserve"> costs +</w:t>
      </w:r>
      <w:r w:rsidR="004D13FA" w:rsidRPr="002357A8">
        <w:t xml:space="preserve">7% overhead) </w:t>
      </w:r>
      <w:r w:rsidRPr="002357A8">
        <w:t>between Member States</w:t>
      </w:r>
      <w:r w:rsidR="00274B5C" w:rsidRPr="002357A8">
        <w:t>/Regions</w:t>
      </w:r>
      <w:r w:rsidRPr="002357A8">
        <w:t xml:space="preserve"> and the European Commission</w:t>
      </w:r>
      <w:r w:rsidR="002B5BD0" w:rsidRPr="002357A8">
        <w:t>,</w:t>
      </w:r>
      <w:r w:rsidRPr="002357A8">
        <w:t xml:space="preserve"> with the EC funding </w:t>
      </w:r>
      <w:r w:rsidR="002B5BD0" w:rsidRPr="002357A8">
        <w:t xml:space="preserve">part </w:t>
      </w:r>
      <w:r w:rsidRPr="002357A8">
        <w:t>coming through the Digital Europe Programme (DEP)</w:t>
      </w:r>
      <w:r w:rsidR="00777C62" w:rsidRPr="002357A8">
        <w:t>, with a focus on capacity building</w:t>
      </w:r>
      <w:r w:rsidRPr="002357A8">
        <w:t>.</w:t>
      </w:r>
      <w:r w:rsidR="00274B5C" w:rsidRPr="002357A8">
        <w:t xml:space="preserve"> However, it is also possible that </w:t>
      </w:r>
      <w:r w:rsidR="00EB2731" w:rsidRPr="002357A8">
        <w:t xml:space="preserve">EDIHs can </w:t>
      </w:r>
      <w:r w:rsidR="0036328A" w:rsidRPr="002357A8">
        <w:t>also utili</w:t>
      </w:r>
      <w:r w:rsidR="002B5BD0" w:rsidRPr="002357A8">
        <w:t>s</w:t>
      </w:r>
      <w:r w:rsidR="0036328A" w:rsidRPr="002357A8">
        <w:t xml:space="preserve">e other funding </w:t>
      </w:r>
      <w:r w:rsidR="00EB2731" w:rsidRPr="002357A8">
        <w:t xml:space="preserve">sources, </w:t>
      </w:r>
      <w:r w:rsidR="002B5BD0" w:rsidRPr="002357A8">
        <w:t>such as</w:t>
      </w:r>
      <w:r w:rsidR="00EB2731" w:rsidRPr="002357A8">
        <w:t xml:space="preserve"> the Recovery Fund</w:t>
      </w:r>
      <w:r w:rsidR="007A2753" w:rsidRPr="002357A8">
        <w:t xml:space="preserve"> and Green Deal</w:t>
      </w:r>
      <w:r w:rsidR="00EB2731" w:rsidRPr="002357A8">
        <w:t>.</w:t>
      </w:r>
      <w:r w:rsidR="002418A7" w:rsidRPr="002357A8">
        <w:t xml:space="preserve"> The DIHs do not have a specific European funding instrument.</w:t>
      </w:r>
    </w:p>
    <w:p w14:paraId="6F2301A0" w14:textId="21693BEC" w:rsidR="002357A8" w:rsidRPr="002357A8" w:rsidRDefault="00195780">
      <w:pPr>
        <w:pStyle w:val="BodyText"/>
        <w:numPr>
          <w:ilvl w:val="0"/>
          <w:numId w:val="5"/>
        </w:numPr>
      </w:pPr>
      <w:r w:rsidRPr="002357A8">
        <w:t xml:space="preserve">The EDIHs are </w:t>
      </w:r>
      <w:r w:rsidR="008B483F" w:rsidRPr="002357A8">
        <w:t xml:space="preserve">expected to have a specialism selected that they will </w:t>
      </w:r>
      <w:r w:rsidR="007A6A25" w:rsidRPr="002357A8">
        <w:t xml:space="preserve">develop and </w:t>
      </w:r>
      <w:r w:rsidR="008B483F" w:rsidRPr="002357A8">
        <w:t xml:space="preserve">focus on. This </w:t>
      </w:r>
      <w:r w:rsidR="00B211B1" w:rsidRPr="002357A8">
        <w:t xml:space="preserve">is </w:t>
      </w:r>
      <w:r w:rsidR="002B5BD0" w:rsidRPr="002357A8">
        <w:t>intended</w:t>
      </w:r>
      <w:r w:rsidR="00B211B1" w:rsidRPr="002357A8">
        <w:t xml:space="preserve"> to</w:t>
      </w:r>
      <w:r w:rsidR="008B483F" w:rsidRPr="002357A8">
        <w:t xml:space="preserve"> be connected to the place-based characteristics of their region, </w:t>
      </w:r>
      <w:r w:rsidR="00DA7DD9" w:rsidRPr="002357A8">
        <w:t>taken up by the</w:t>
      </w:r>
      <w:r w:rsidR="006F00B7" w:rsidRPr="002357A8">
        <w:t>i</w:t>
      </w:r>
      <w:r w:rsidR="00DA7DD9" w:rsidRPr="002357A8">
        <w:t xml:space="preserve">r Smart Specialisation Strategy. </w:t>
      </w:r>
      <w:r w:rsidR="002357A8">
        <w:t>T</w:t>
      </w:r>
      <w:r w:rsidR="002357A8" w:rsidRPr="002357A8">
        <w:t xml:space="preserve">his </w:t>
      </w:r>
      <w:proofErr w:type="gramStart"/>
      <w:r w:rsidR="002357A8" w:rsidRPr="002357A8">
        <w:t>region based</w:t>
      </w:r>
      <w:proofErr w:type="gramEnd"/>
      <w:r w:rsidR="002357A8" w:rsidRPr="002357A8">
        <w:t xml:space="preserve"> specialism is also present in DIHs</w:t>
      </w:r>
      <w:r w:rsidR="002357A8">
        <w:t xml:space="preserve"> but relies more on pre-existing skill sets already embedded in the DIH.</w:t>
      </w:r>
    </w:p>
    <w:p w14:paraId="08089CE4" w14:textId="68B84981" w:rsidR="004440D8" w:rsidRPr="002357A8" w:rsidRDefault="002357A8">
      <w:pPr>
        <w:pStyle w:val="BodyText"/>
        <w:numPr>
          <w:ilvl w:val="0"/>
          <w:numId w:val="5"/>
        </w:numPr>
      </w:pPr>
      <w:r w:rsidRPr="002357A8">
        <w:t>It is</w:t>
      </w:r>
      <w:r w:rsidR="00DA7DD9" w:rsidRPr="002357A8">
        <w:t xml:space="preserve"> expected that </w:t>
      </w:r>
      <w:r w:rsidRPr="002357A8">
        <w:t>EDIH</w:t>
      </w:r>
      <w:r w:rsidR="00DA7DD9" w:rsidRPr="002357A8">
        <w:t xml:space="preserve"> </w:t>
      </w:r>
      <w:r w:rsidRPr="002357A8">
        <w:t xml:space="preserve">will </w:t>
      </w:r>
      <w:r>
        <w:t>act as</w:t>
      </w:r>
      <w:r w:rsidR="00DA7DD9" w:rsidRPr="002357A8">
        <w:t xml:space="preserve"> a gateway</w:t>
      </w:r>
      <w:r w:rsidRPr="002357A8">
        <w:t xml:space="preserve"> </w:t>
      </w:r>
      <w:r>
        <w:t>for</w:t>
      </w:r>
      <w:r w:rsidR="00DA7DD9" w:rsidRPr="002357A8">
        <w:t xml:space="preserve"> advanced digital technologies, either </w:t>
      </w:r>
      <w:r w:rsidRPr="002357A8">
        <w:t xml:space="preserve">acting as a lighthouse attractor </w:t>
      </w:r>
      <w:r>
        <w:t>to</w:t>
      </w:r>
      <w:r w:rsidRPr="002357A8">
        <w:t xml:space="preserve"> local novel expertise </w:t>
      </w:r>
      <w:r>
        <w:t xml:space="preserve">that has wider value for Europe </w:t>
      </w:r>
      <w:r w:rsidRPr="002357A8">
        <w:t>or as a channel to bring European</w:t>
      </w:r>
      <w:r>
        <w:t xml:space="preserve"> (other region)</w:t>
      </w:r>
      <w:r w:rsidRPr="002357A8">
        <w:t xml:space="preserve"> </w:t>
      </w:r>
      <w:r>
        <w:t>based</w:t>
      </w:r>
      <w:r w:rsidRPr="002357A8">
        <w:t xml:space="preserve"> expertise </w:t>
      </w:r>
      <w:r w:rsidR="00DA7DD9" w:rsidRPr="002357A8">
        <w:t>in</w:t>
      </w:r>
      <w:r w:rsidRPr="002357A8">
        <w:t>to</w:t>
      </w:r>
      <w:r w:rsidR="00DA7DD9" w:rsidRPr="002357A8">
        <w:t xml:space="preserve"> the</w:t>
      </w:r>
      <w:r>
        <w:t>ir</w:t>
      </w:r>
      <w:r w:rsidR="00DA7DD9" w:rsidRPr="002357A8">
        <w:t xml:space="preserve"> region.</w:t>
      </w:r>
      <w:r w:rsidR="006B30B0" w:rsidRPr="002357A8">
        <w:t xml:space="preserve"> </w:t>
      </w:r>
      <w:r w:rsidR="002B5BD0" w:rsidRPr="002357A8">
        <w:t>In addition</w:t>
      </w:r>
      <w:r w:rsidR="00CF283E" w:rsidRPr="002357A8">
        <w:t xml:space="preserve">, the EDIH will have the task </w:t>
      </w:r>
      <w:r w:rsidRPr="002357A8">
        <w:t>of</w:t>
      </w:r>
      <w:r w:rsidR="00CF283E" w:rsidRPr="002357A8">
        <w:t xml:space="preserve"> directly or indirectly support</w:t>
      </w:r>
      <w:r w:rsidRPr="002357A8">
        <w:t>ing</w:t>
      </w:r>
      <w:r w:rsidR="00CF283E" w:rsidRPr="002357A8">
        <w:t xml:space="preserve"> their customers with (access to) digi</w:t>
      </w:r>
      <w:r w:rsidR="000B755A" w:rsidRPr="002357A8">
        <w:t>tal transformation at large.</w:t>
      </w:r>
      <w:r w:rsidRPr="002357A8">
        <w:t xml:space="preserve"> In contrast DIH may channel-in European expertise </w:t>
      </w:r>
      <w:r>
        <w:t>but only where the</w:t>
      </w:r>
      <w:r w:rsidRPr="002357A8">
        <w:t xml:space="preserve"> </w:t>
      </w:r>
      <w:r>
        <w:t>specialisation</w:t>
      </w:r>
      <w:r w:rsidRPr="002357A8">
        <w:t xml:space="preserve"> already exists.</w:t>
      </w:r>
    </w:p>
    <w:p w14:paraId="38F9CC7D" w14:textId="05D1D3FE" w:rsidR="004440D8" w:rsidRPr="002357A8" w:rsidRDefault="00AD3EE0" w:rsidP="00D01BC4">
      <w:pPr>
        <w:pStyle w:val="BodyText"/>
        <w:numPr>
          <w:ilvl w:val="0"/>
          <w:numId w:val="5"/>
        </w:numPr>
      </w:pPr>
      <w:r w:rsidRPr="002357A8">
        <w:t>Al</w:t>
      </w:r>
      <w:r w:rsidR="004440D8" w:rsidRPr="002357A8">
        <w:t xml:space="preserve">l EDIH will receive training around a set of core competencies that include AI, Cybersecurity, High Performance Computing and Key Digital Technologies. The delivery of these </w:t>
      </w:r>
      <w:r w:rsidR="002B5BD0" w:rsidRPr="002357A8">
        <w:t xml:space="preserve">advanced technology </w:t>
      </w:r>
      <w:r w:rsidR="004440D8" w:rsidRPr="002357A8">
        <w:t xml:space="preserve">core competencies </w:t>
      </w:r>
      <w:r w:rsidR="00EC3F26" w:rsidRPr="002357A8">
        <w:t>is</w:t>
      </w:r>
      <w:r w:rsidR="004440D8" w:rsidRPr="002357A8">
        <w:t xml:space="preserve"> one of the primary impacts that EDIH are expected to bring to regions, thereby raising levels of expertise.</w:t>
      </w:r>
      <w:r w:rsidR="002357A8" w:rsidRPr="002357A8">
        <w:t xml:space="preserve"> There is no centralised training for DIH.</w:t>
      </w:r>
    </w:p>
    <w:p w14:paraId="27BA6F0C" w14:textId="7A175F30" w:rsidR="00D01BC4" w:rsidRPr="002357A8" w:rsidRDefault="00D01BC4" w:rsidP="00D01BC4">
      <w:pPr>
        <w:pStyle w:val="BodyText"/>
        <w:spacing w:before="240"/>
      </w:pPr>
      <w:r w:rsidRPr="002357A8">
        <w:t>In summary:</w:t>
      </w:r>
    </w:p>
    <w:tbl>
      <w:tblPr>
        <w:tblStyle w:val="GridTable4-Accent5"/>
        <w:tblW w:w="0" w:type="auto"/>
        <w:tblLook w:val="04A0" w:firstRow="1" w:lastRow="0" w:firstColumn="1" w:lastColumn="0" w:noHBand="0" w:noVBand="1"/>
      </w:tblPr>
      <w:tblGrid>
        <w:gridCol w:w="1980"/>
        <w:gridCol w:w="3685"/>
        <w:gridCol w:w="3345"/>
      </w:tblGrid>
      <w:tr w:rsidR="00D01BC4" w:rsidRPr="002357A8" w14:paraId="0213ABDD" w14:textId="77777777" w:rsidTr="00D01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bookmarkEnd w:id="0"/>
          <w:p w14:paraId="25052831" w14:textId="3A724EED" w:rsidR="00D01BC4" w:rsidRPr="002357A8" w:rsidRDefault="00D01BC4" w:rsidP="00D01BC4">
            <w:pPr>
              <w:rPr>
                <w:lang w:val="en-GB"/>
              </w:rPr>
            </w:pPr>
            <w:r w:rsidRPr="002357A8">
              <w:rPr>
                <w:lang w:val="en-GB"/>
              </w:rPr>
              <w:t>Characteristic</w:t>
            </w:r>
          </w:p>
        </w:tc>
        <w:tc>
          <w:tcPr>
            <w:tcW w:w="3685" w:type="dxa"/>
          </w:tcPr>
          <w:p w14:paraId="4F613E23" w14:textId="789C736D" w:rsidR="00D01BC4" w:rsidRPr="002357A8" w:rsidRDefault="00D01BC4" w:rsidP="00D01BC4">
            <w:pPr>
              <w:cnfStyle w:val="100000000000" w:firstRow="1" w:lastRow="0" w:firstColumn="0" w:lastColumn="0" w:oddVBand="0" w:evenVBand="0" w:oddHBand="0" w:evenHBand="0" w:firstRowFirstColumn="0" w:firstRowLastColumn="0" w:lastRowFirstColumn="0" w:lastRowLastColumn="0"/>
              <w:rPr>
                <w:lang w:val="en-GB"/>
              </w:rPr>
            </w:pPr>
            <w:r w:rsidRPr="002357A8">
              <w:rPr>
                <w:lang w:val="en-GB"/>
              </w:rPr>
              <w:t>EDIH</w:t>
            </w:r>
          </w:p>
        </w:tc>
        <w:tc>
          <w:tcPr>
            <w:tcW w:w="3345" w:type="dxa"/>
          </w:tcPr>
          <w:p w14:paraId="6099A9CB" w14:textId="6E2FB89A" w:rsidR="00D01BC4" w:rsidRPr="002357A8" w:rsidRDefault="00D01BC4" w:rsidP="00D01BC4">
            <w:pPr>
              <w:cnfStyle w:val="100000000000" w:firstRow="1" w:lastRow="0" w:firstColumn="0" w:lastColumn="0" w:oddVBand="0" w:evenVBand="0" w:oddHBand="0" w:evenHBand="0" w:firstRowFirstColumn="0" w:firstRowLastColumn="0" w:lastRowFirstColumn="0" w:lastRowLastColumn="0"/>
              <w:rPr>
                <w:lang w:val="en-GB"/>
              </w:rPr>
            </w:pPr>
            <w:r w:rsidRPr="002357A8">
              <w:rPr>
                <w:lang w:val="en-GB"/>
              </w:rPr>
              <w:t>DIH</w:t>
            </w:r>
          </w:p>
        </w:tc>
      </w:tr>
      <w:tr w:rsidR="00D01BC4" w:rsidRPr="002357A8" w14:paraId="17882AFC" w14:textId="77777777" w:rsidTr="00D0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4E04216" w14:textId="5D6675B6" w:rsidR="00D01BC4" w:rsidRPr="002357A8" w:rsidRDefault="00D01BC4" w:rsidP="00D01BC4">
            <w:pPr>
              <w:rPr>
                <w:sz w:val="22"/>
                <w:szCs w:val="22"/>
                <w:lang w:val="en-GB"/>
              </w:rPr>
            </w:pPr>
            <w:r w:rsidRPr="002357A8">
              <w:rPr>
                <w:sz w:val="22"/>
                <w:szCs w:val="22"/>
                <w:lang w:val="en-GB"/>
              </w:rPr>
              <w:t>Legal Status</w:t>
            </w:r>
          </w:p>
        </w:tc>
        <w:tc>
          <w:tcPr>
            <w:tcW w:w="3685" w:type="dxa"/>
          </w:tcPr>
          <w:p w14:paraId="47B4EBF7" w14:textId="4D17AD96" w:rsidR="00D01BC4" w:rsidRPr="002357A8" w:rsidRDefault="00D01BC4" w:rsidP="00D01BC4">
            <w:pPr>
              <w:cnfStyle w:val="000000100000" w:firstRow="0" w:lastRow="0" w:firstColumn="0" w:lastColumn="0" w:oddVBand="0" w:evenVBand="0" w:oddHBand="1" w:evenHBand="0" w:firstRowFirstColumn="0" w:firstRowLastColumn="0" w:lastRowFirstColumn="0" w:lastRowLastColumn="0"/>
              <w:rPr>
                <w:i/>
                <w:iCs/>
                <w:sz w:val="22"/>
                <w:szCs w:val="22"/>
                <w:lang w:val="en-GB"/>
              </w:rPr>
            </w:pPr>
            <w:r w:rsidRPr="002357A8">
              <w:rPr>
                <w:i/>
                <w:iCs/>
                <w:sz w:val="22"/>
                <w:szCs w:val="22"/>
                <w:lang w:val="en-GB"/>
              </w:rPr>
              <w:t>Formal legal status</w:t>
            </w:r>
          </w:p>
        </w:tc>
        <w:tc>
          <w:tcPr>
            <w:tcW w:w="3345" w:type="dxa"/>
          </w:tcPr>
          <w:p w14:paraId="02CD42CC" w14:textId="3A2A7EEE" w:rsidR="00D01BC4" w:rsidRPr="002357A8" w:rsidRDefault="00D01BC4" w:rsidP="00D01BC4">
            <w:pPr>
              <w:cnfStyle w:val="000000100000" w:firstRow="0" w:lastRow="0" w:firstColumn="0" w:lastColumn="0" w:oddVBand="0" w:evenVBand="0" w:oddHBand="1" w:evenHBand="0" w:firstRowFirstColumn="0" w:firstRowLastColumn="0" w:lastRowFirstColumn="0" w:lastRowLastColumn="0"/>
              <w:rPr>
                <w:i/>
                <w:iCs/>
                <w:sz w:val="22"/>
                <w:szCs w:val="22"/>
                <w:lang w:val="en-GB"/>
              </w:rPr>
            </w:pPr>
            <w:r w:rsidRPr="002357A8">
              <w:rPr>
                <w:i/>
                <w:iCs/>
                <w:sz w:val="22"/>
                <w:szCs w:val="22"/>
                <w:lang w:val="en-GB"/>
              </w:rPr>
              <w:t>Informal status</w:t>
            </w:r>
          </w:p>
        </w:tc>
      </w:tr>
      <w:tr w:rsidR="00D01BC4" w:rsidRPr="002357A8" w14:paraId="269DFA11" w14:textId="77777777" w:rsidTr="00D01BC4">
        <w:tc>
          <w:tcPr>
            <w:cnfStyle w:val="001000000000" w:firstRow="0" w:lastRow="0" w:firstColumn="1" w:lastColumn="0" w:oddVBand="0" w:evenVBand="0" w:oddHBand="0" w:evenHBand="0" w:firstRowFirstColumn="0" w:firstRowLastColumn="0" w:lastRowFirstColumn="0" w:lastRowLastColumn="0"/>
            <w:tcW w:w="1980" w:type="dxa"/>
          </w:tcPr>
          <w:p w14:paraId="13037D5B" w14:textId="278A8016" w:rsidR="00D01BC4" w:rsidRPr="002357A8" w:rsidRDefault="00D01BC4" w:rsidP="00D01BC4">
            <w:pPr>
              <w:rPr>
                <w:sz w:val="22"/>
                <w:szCs w:val="22"/>
                <w:lang w:val="en-GB"/>
              </w:rPr>
            </w:pPr>
            <w:r w:rsidRPr="002357A8">
              <w:rPr>
                <w:sz w:val="22"/>
                <w:szCs w:val="22"/>
                <w:lang w:val="en-GB"/>
              </w:rPr>
              <w:t>Reach</w:t>
            </w:r>
          </w:p>
        </w:tc>
        <w:tc>
          <w:tcPr>
            <w:tcW w:w="3685" w:type="dxa"/>
          </w:tcPr>
          <w:p w14:paraId="5DE5B2BB" w14:textId="231CC924" w:rsidR="00D01BC4" w:rsidRPr="002357A8" w:rsidRDefault="00D01BC4" w:rsidP="00D01BC4">
            <w:pPr>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2357A8">
              <w:rPr>
                <w:i/>
                <w:iCs/>
                <w:sz w:val="22"/>
                <w:szCs w:val="22"/>
                <w:lang w:val="en-GB"/>
              </w:rPr>
              <w:t>Regional and European</w:t>
            </w:r>
          </w:p>
        </w:tc>
        <w:tc>
          <w:tcPr>
            <w:tcW w:w="3345" w:type="dxa"/>
          </w:tcPr>
          <w:p w14:paraId="50068EB8" w14:textId="1D4B289C" w:rsidR="00D01BC4" w:rsidRPr="002357A8" w:rsidRDefault="00D01BC4" w:rsidP="00D01BC4">
            <w:pPr>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2357A8">
              <w:rPr>
                <w:i/>
                <w:iCs/>
                <w:sz w:val="22"/>
                <w:szCs w:val="22"/>
                <w:lang w:val="en-GB"/>
              </w:rPr>
              <w:t>Regional (DIH Networks can be European)</w:t>
            </w:r>
          </w:p>
        </w:tc>
      </w:tr>
      <w:tr w:rsidR="00D01BC4" w:rsidRPr="002357A8" w14:paraId="45944117" w14:textId="77777777" w:rsidTr="00D0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DEE3B91" w14:textId="531BA043" w:rsidR="00D01BC4" w:rsidRPr="002357A8" w:rsidRDefault="00D01BC4" w:rsidP="00D01BC4">
            <w:pPr>
              <w:rPr>
                <w:sz w:val="22"/>
                <w:szCs w:val="22"/>
                <w:lang w:val="en-GB"/>
              </w:rPr>
            </w:pPr>
            <w:r w:rsidRPr="002357A8">
              <w:rPr>
                <w:sz w:val="22"/>
                <w:szCs w:val="22"/>
                <w:lang w:val="en-GB"/>
              </w:rPr>
              <w:t>Adopter focus</w:t>
            </w:r>
          </w:p>
        </w:tc>
        <w:tc>
          <w:tcPr>
            <w:tcW w:w="3685" w:type="dxa"/>
          </w:tcPr>
          <w:p w14:paraId="17702097" w14:textId="4630AA0D" w:rsidR="00D01BC4" w:rsidRPr="002357A8" w:rsidRDefault="00D01BC4" w:rsidP="00D01BC4">
            <w:pPr>
              <w:cnfStyle w:val="000000100000" w:firstRow="0" w:lastRow="0" w:firstColumn="0" w:lastColumn="0" w:oddVBand="0" w:evenVBand="0" w:oddHBand="1" w:evenHBand="0" w:firstRowFirstColumn="0" w:firstRowLastColumn="0" w:lastRowFirstColumn="0" w:lastRowLastColumn="0"/>
              <w:rPr>
                <w:i/>
                <w:iCs/>
                <w:sz w:val="22"/>
                <w:szCs w:val="22"/>
                <w:lang w:val="en-GB"/>
              </w:rPr>
            </w:pPr>
            <w:r w:rsidRPr="002357A8">
              <w:rPr>
                <w:i/>
                <w:iCs/>
                <w:sz w:val="22"/>
                <w:szCs w:val="22"/>
                <w:lang w:val="en-GB"/>
              </w:rPr>
              <w:t>Early and Late Majority</w:t>
            </w:r>
          </w:p>
        </w:tc>
        <w:tc>
          <w:tcPr>
            <w:tcW w:w="3345" w:type="dxa"/>
          </w:tcPr>
          <w:p w14:paraId="439EFE72" w14:textId="169B7BA8" w:rsidR="00D01BC4" w:rsidRPr="002357A8" w:rsidRDefault="00D01BC4" w:rsidP="00D01BC4">
            <w:pPr>
              <w:cnfStyle w:val="000000100000" w:firstRow="0" w:lastRow="0" w:firstColumn="0" w:lastColumn="0" w:oddVBand="0" w:evenVBand="0" w:oddHBand="1" w:evenHBand="0" w:firstRowFirstColumn="0" w:firstRowLastColumn="0" w:lastRowFirstColumn="0" w:lastRowLastColumn="0"/>
              <w:rPr>
                <w:i/>
                <w:iCs/>
                <w:sz w:val="22"/>
                <w:szCs w:val="22"/>
                <w:lang w:val="en-GB"/>
              </w:rPr>
            </w:pPr>
            <w:r w:rsidRPr="002357A8">
              <w:rPr>
                <w:i/>
                <w:iCs/>
                <w:sz w:val="22"/>
                <w:szCs w:val="22"/>
                <w:lang w:val="en-GB"/>
              </w:rPr>
              <w:t>Innovators and Early adopters</w:t>
            </w:r>
          </w:p>
        </w:tc>
      </w:tr>
      <w:tr w:rsidR="00D01BC4" w:rsidRPr="002357A8" w14:paraId="59CE0807" w14:textId="77777777" w:rsidTr="00D01BC4">
        <w:tc>
          <w:tcPr>
            <w:cnfStyle w:val="001000000000" w:firstRow="0" w:lastRow="0" w:firstColumn="1" w:lastColumn="0" w:oddVBand="0" w:evenVBand="0" w:oddHBand="0" w:evenHBand="0" w:firstRowFirstColumn="0" w:firstRowLastColumn="0" w:lastRowFirstColumn="0" w:lastRowLastColumn="0"/>
            <w:tcW w:w="1980" w:type="dxa"/>
          </w:tcPr>
          <w:p w14:paraId="2BC46B0A" w14:textId="2158E69E" w:rsidR="00D01BC4" w:rsidRPr="002357A8" w:rsidRDefault="00D01BC4" w:rsidP="00D01BC4">
            <w:pPr>
              <w:rPr>
                <w:sz w:val="22"/>
                <w:szCs w:val="22"/>
                <w:lang w:val="en-GB"/>
              </w:rPr>
            </w:pPr>
            <w:r w:rsidRPr="002357A8">
              <w:rPr>
                <w:sz w:val="22"/>
                <w:szCs w:val="22"/>
                <w:lang w:val="en-GB"/>
              </w:rPr>
              <w:t>Stakeholders</w:t>
            </w:r>
          </w:p>
        </w:tc>
        <w:tc>
          <w:tcPr>
            <w:tcW w:w="3685" w:type="dxa"/>
          </w:tcPr>
          <w:p w14:paraId="294B30D5" w14:textId="76E36F36" w:rsidR="00D01BC4" w:rsidRPr="002357A8" w:rsidRDefault="00D01BC4" w:rsidP="00D01BC4">
            <w:pPr>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2357A8">
              <w:rPr>
                <w:i/>
                <w:iCs/>
                <w:sz w:val="22"/>
                <w:szCs w:val="22"/>
                <w:lang w:val="en-GB"/>
              </w:rPr>
              <w:t>Industry and Public Sector</w:t>
            </w:r>
          </w:p>
        </w:tc>
        <w:tc>
          <w:tcPr>
            <w:tcW w:w="3345" w:type="dxa"/>
          </w:tcPr>
          <w:p w14:paraId="449D18D2" w14:textId="09456259" w:rsidR="00D01BC4" w:rsidRPr="002357A8" w:rsidRDefault="00D01BC4" w:rsidP="00D01BC4">
            <w:pPr>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2357A8">
              <w:rPr>
                <w:i/>
                <w:iCs/>
                <w:sz w:val="22"/>
                <w:szCs w:val="22"/>
                <w:lang w:val="en-GB"/>
              </w:rPr>
              <w:t>Innovators and related</w:t>
            </w:r>
          </w:p>
        </w:tc>
      </w:tr>
      <w:tr w:rsidR="00D01BC4" w:rsidRPr="002357A8" w14:paraId="5BF2B217" w14:textId="77777777" w:rsidTr="00D0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3E5EABC" w14:textId="3A0B8A32" w:rsidR="00D01BC4" w:rsidRPr="002357A8" w:rsidRDefault="00D01BC4" w:rsidP="00D01BC4">
            <w:pPr>
              <w:rPr>
                <w:sz w:val="22"/>
                <w:szCs w:val="22"/>
                <w:lang w:val="en-GB"/>
              </w:rPr>
            </w:pPr>
            <w:r w:rsidRPr="002357A8">
              <w:rPr>
                <w:sz w:val="22"/>
                <w:szCs w:val="22"/>
                <w:lang w:val="en-GB"/>
              </w:rPr>
              <w:t>Formation</w:t>
            </w:r>
          </w:p>
        </w:tc>
        <w:tc>
          <w:tcPr>
            <w:tcW w:w="3685" w:type="dxa"/>
          </w:tcPr>
          <w:p w14:paraId="566B1AA4" w14:textId="12CB2FEA" w:rsidR="00D01BC4" w:rsidRPr="002357A8" w:rsidRDefault="00D01BC4" w:rsidP="00D01BC4">
            <w:pPr>
              <w:cnfStyle w:val="000000100000" w:firstRow="0" w:lastRow="0" w:firstColumn="0" w:lastColumn="0" w:oddVBand="0" w:evenVBand="0" w:oddHBand="1" w:evenHBand="0" w:firstRowFirstColumn="0" w:firstRowLastColumn="0" w:lastRowFirstColumn="0" w:lastRowLastColumn="0"/>
              <w:rPr>
                <w:i/>
                <w:iCs/>
                <w:sz w:val="22"/>
                <w:szCs w:val="22"/>
                <w:lang w:val="en-GB"/>
              </w:rPr>
            </w:pPr>
            <w:r w:rsidRPr="002357A8">
              <w:rPr>
                <w:i/>
                <w:iCs/>
                <w:sz w:val="22"/>
                <w:szCs w:val="22"/>
                <w:lang w:val="en-GB"/>
              </w:rPr>
              <w:t>Member State and EC selection process</w:t>
            </w:r>
          </w:p>
        </w:tc>
        <w:tc>
          <w:tcPr>
            <w:tcW w:w="3345" w:type="dxa"/>
          </w:tcPr>
          <w:p w14:paraId="65E9F897" w14:textId="0316FD61" w:rsidR="00D01BC4" w:rsidRPr="002357A8" w:rsidRDefault="00D01BC4" w:rsidP="00D01BC4">
            <w:pPr>
              <w:cnfStyle w:val="000000100000" w:firstRow="0" w:lastRow="0" w:firstColumn="0" w:lastColumn="0" w:oddVBand="0" w:evenVBand="0" w:oddHBand="1" w:evenHBand="0" w:firstRowFirstColumn="0" w:firstRowLastColumn="0" w:lastRowFirstColumn="0" w:lastRowLastColumn="0"/>
              <w:rPr>
                <w:i/>
                <w:iCs/>
                <w:sz w:val="22"/>
                <w:szCs w:val="22"/>
                <w:lang w:val="en-GB"/>
              </w:rPr>
            </w:pPr>
            <w:r w:rsidRPr="002357A8">
              <w:rPr>
                <w:i/>
                <w:iCs/>
                <w:sz w:val="22"/>
                <w:szCs w:val="22"/>
                <w:lang w:val="en-GB"/>
              </w:rPr>
              <w:t>National and regional policy and self</w:t>
            </w:r>
            <w:r w:rsidR="002357A8" w:rsidRPr="002357A8">
              <w:rPr>
                <w:i/>
                <w:iCs/>
                <w:sz w:val="22"/>
                <w:szCs w:val="22"/>
                <w:lang w:val="en-GB"/>
              </w:rPr>
              <w:t>-</w:t>
            </w:r>
            <w:r w:rsidRPr="002357A8">
              <w:rPr>
                <w:i/>
                <w:iCs/>
                <w:sz w:val="22"/>
                <w:szCs w:val="22"/>
                <w:lang w:val="en-GB"/>
              </w:rPr>
              <w:t>selection</w:t>
            </w:r>
          </w:p>
        </w:tc>
      </w:tr>
      <w:tr w:rsidR="00D01BC4" w:rsidRPr="002357A8" w14:paraId="36DF0389" w14:textId="77777777" w:rsidTr="00D01BC4">
        <w:tc>
          <w:tcPr>
            <w:cnfStyle w:val="001000000000" w:firstRow="0" w:lastRow="0" w:firstColumn="1" w:lastColumn="0" w:oddVBand="0" w:evenVBand="0" w:oddHBand="0" w:evenHBand="0" w:firstRowFirstColumn="0" w:firstRowLastColumn="0" w:lastRowFirstColumn="0" w:lastRowLastColumn="0"/>
            <w:tcW w:w="1980" w:type="dxa"/>
          </w:tcPr>
          <w:p w14:paraId="70EEF2BF" w14:textId="7041F221" w:rsidR="00D01BC4" w:rsidRPr="002357A8" w:rsidRDefault="00D01BC4" w:rsidP="00D01BC4">
            <w:pPr>
              <w:rPr>
                <w:sz w:val="22"/>
                <w:szCs w:val="22"/>
                <w:lang w:val="en-GB"/>
              </w:rPr>
            </w:pPr>
            <w:r w:rsidRPr="002357A8">
              <w:rPr>
                <w:sz w:val="22"/>
                <w:szCs w:val="22"/>
                <w:lang w:val="en-GB"/>
              </w:rPr>
              <w:t>Funding</w:t>
            </w:r>
          </w:p>
        </w:tc>
        <w:tc>
          <w:tcPr>
            <w:tcW w:w="3685" w:type="dxa"/>
          </w:tcPr>
          <w:p w14:paraId="19E38AB7" w14:textId="4D160BC5" w:rsidR="00D01BC4" w:rsidRPr="002357A8" w:rsidRDefault="00D01BC4" w:rsidP="00D01BC4">
            <w:pPr>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2357A8">
              <w:rPr>
                <w:i/>
                <w:iCs/>
                <w:sz w:val="22"/>
                <w:szCs w:val="22"/>
                <w:lang w:val="en-GB"/>
              </w:rPr>
              <w:t xml:space="preserve">Formal through DEP; 50:50 split (EC + Member States) </w:t>
            </w:r>
          </w:p>
        </w:tc>
        <w:tc>
          <w:tcPr>
            <w:tcW w:w="3345" w:type="dxa"/>
          </w:tcPr>
          <w:p w14:paraId="494D55BD" w14:textId="42F12A5A" w:rsidR="00D01BC4" w:rsidRPr="002357A8" w:rsidRDefault="00D01BC4" w:rsidP="00D01BC4">
            <w:pPr>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2357A8">
              <w:rPr>
                <w:i/>
                <w:iCs/>
                <w:sz w:val="22"/>
                <w:szCs w:val="22"/>
                <w:lang w:val="en-GB"/>
              </w:rPr>
              <w:t xml:space="preserve">No fixed funding process </w:t>
            </w:r>
          </w:p>
        </w:tc>
      </w:tr>
      <w:tr w:rsidR="00D01BC4" w:rsidRPr="002357A8" w14:paraId="2123D2D2" w14:textId="77777777" w:rsidTr="00D0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B2FE94B" w14:textId="503A393A" w:rsidR="00D01BC4" w:rsidRPr="002357A8" w:rsidRDefault="00D01BC4" w:rsidP="00D01BC4">
            <w:pPr>
              <w:rPr>
                <w:sz w:val="22"/>
                <w:szCs w:val="22"/>
                <w:lang w:val="en-GB"/>
              </w:rPr>
            </w:pPr>
            <w:r w:rsidRPr="002357A8">
              <w:rPr>
                <w:sz w:val="22"/>
                <w:szCs w:val="22"/>
                <w:lang w:val="en-GB"/>
              </w:rPr>
              <w:t>Specialisation</w:t>
            </w:r>
          </w:p>
        </w:tc>
        <w:tc>
          <w:tcPr>
            <w:tcW w:w="3685" w:type="dxa"/>
          </w:tcPr>
          <w:p w14:paraId="5815D868" w14:textId="3D980BC0" w:rsidR="00D01BC4" w:rsidRPr="002357A8" w:rsidRDefault="00D01BC4" w:rsidP="00D01BC4">
            <w:pPr>
              <w:cnfStyle w:val="000000100000" w:firstRow="0" w:lastRow="0" w:firstColumn="0" w:lastColumn="0" w:oddVBand="0" w:evenVBand="0" w:oddHBand="1" w:evenHBand="0" w:firstRowFirstColumn="0" w:firstRowLastColumn="0" w:lastRowFirstColumn="0" w:lastRowLastColumn="0"/>
              <w:rPr>
                <w:i/>
                <w:iCs/>
                <w:sz w:val="22"/>
                <w:szCs w:val="22"/>
                <w:lang w:val="en-GB"/>
              </w:rPr>
            </w:pPr>
            <w:r w:rsidRPr="002357A8">
              <w:rPr>
                <w:i/>
                <w:iCs/>
                <w:sz w:val="22"/>
                <w:szCs w:val="22"/>
                <w:lang w:val="en-GB"/>
              </w:rPr>
              <w:t>Aligned to regional Smart Specialisation</w:t>
            </w:r>
          </w:p>
        </w:tc>
        <w:tc>
          <w:tcPr>
            <w:tcW w:w="3345" w:type="dxa"/>
          </w:tcPr>
          <w:p w14:paraId="591BF8C7" w14:textId="5F8671C6" w:rsidR="00D01BC4" w:rsidRPr="002357A8" w:rsidRDefault="00D01BC4" w:rsidP="00D01BC4">
            <w:pPr>
              <w:cnfStyle w:val="000000100000" w:firstRow="0" w:lastRow="0" w:firstColumn="0" w:lastColumn="0" w:oddVBand="0" w:evenVBand="0" w:oddHBand="1" w:evenHBand="0" w:firstRowFirstColumn="0" w:firstRowLastColumn="0" w:lastRowFirstColumn="0" w:lastRowLastColumn="0"/>
              <w:rPr>
                <w:i/>
                <w:iCs/>
                <w:sz w:val="22"/>
                <w:szCs w:val="22"/>
                <w:lang w:val="en-GB"/>
              </w:rPr>
            </w:pPr>
            <w:r w:rsidRPr="002357A8">
              <w:rPr>
                <w:i/>
                <w:iCs/>
                <w:sz w:val="22"/>
                <w:szCs w:val="22"/>
                <w:lang w:val="en-GB"/>
              </w:rPr>
              <w:t xml:space="preserve">Focused on </w:t>
            </w:r>
            <w:r w:rsidR="002357A8">
              <w:rPr>
                <w:i/>
                <w:iCs/>
                <w:sz w:val="22"/>
                <w:szCs w:val="22"/>
                <w:lang w:val="en-GB"/>
              </w:rPr>
              <w:t xml:space="preserve">existing </w:t>
            </w:r>
            <w:r w:rsidRPr="002357A8">
              <w:rPr>
                <w:i/>
                <w:iCs/>
                <w:sz w:val="22"/>
                <w:szCs w:val="22"/>
                <w:lang w:val="en-GB"/>
              </w:rPr>
              <w:t>regional need</w:t>
            </w:r>
          </w:p>
        </w:tc>
      </w:tr>
      <w:tr w:rsidR="00D01BC4" w:rsidRPr="002357A8" w14:paraId="7A4CCECF" w14:textId="77777777" w:rsidTr="00D01BC4">
        <w:tc>
          <w:tcPr>
            <w:cnfStyle w:val="001000000000" w:firstRow="0" w:lastRow="0" w:firstColumn="1" w:lastColumn="0" w:oddVBand="0" w:evenVBand="0" w:oddHBand="0" w:evenHBand="0" w:firstRowFirstColumn="0" w:firstRowLastColumn="0" w:lastRowFirstColumn="0" w:lastRowLastColumn="0"/>
            <w:tcW w:w="1980" w:type="dxa"/>
          </w:tcPr>
          <w:p w14:paraId="25983048" w14:textId="66A137C7" w:rsidR="00D01BC4" w:rsidRPr="002357A8" w:rsidRDefault="00D01BC4" w:rsidP="00D01BC4">
            <w:pPr>
              <w:rPr>
                <w:sz w:val="22"/>
                <w:szCs w:val="22"/>
                <w:lang w:val="en-GB"/>
              </w:rPr>
            </w:pPr>
            <w:r w:rsidRPr="002357A8">
              <w:rPr>
                <w:sz w:val="22"/>
                <w:szCs w:val="22"/>
                <w:lang w:val="en-GB"/>
              </w:rPr>
              <w:t>Multiplier effect</w:t>
            </w:r>
          </w:p>
        </w:tc>
        <w:tc>
          <w:tcPr>
            <w:tcW w:w="3685" w:type="dxa"/>
          </w:tcPr>
          <w:p w14:paraId="5A80FA25" w14:textId="23058EED" w:rsidR="00D01BC4" w:rsidRPr="002357A8" w:rsidRDefault="00D01BC4" w:rsidP="00D01BC4">
            <w:pPr>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2357A8">
              <w:rPr>
                <w:i/>
                <w:iCs/>
                <w:sz w:val="22"/>
                <w:szCs w:val="22"/>
                <w:lang w:val="en-GB"/>
              </w:rPr>
              <w:t>Access to unique local expertise scaled to Europe</w:t>
            </w:r>
          </w:p>
        </w:tc>
        <w:tc>
          <w:tcPr>
            <w:tcW w:w="3345" w:type="dxa"/>
          </w:tcPr>
          <w:p w14:paraId="21093BEE" w14:textId="7CDEBE45" w:rsidR="00D01BC4" w:rsidRPr="002357A8" w:rsidRDefault="00D01BC4" w:rsidP="00D01BC4">
            <w:pPr>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2357A8">
              <w:rPr>
                <w:i/>
                <w:iCs/>
                <w:sz w:val="22"/>
                <w:szCs w:val="22"/>
                <w:lang w:val="en-GB"/>
              </w:rPr>
              <w:t>Regional scaling (DIH Networks can have European scaling)</w:t>
            </w:r>
          </w:p>
        </w:tc>
      </w:tr>
      <w:tr w:rsidR="00D01BC4" w:rsidRPr="002357A8" w14:paraId="6096D330" w14:textId="77777777" w:rsidTr="00D01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850354F" w14:textId="7B506EB2" w:rsidR="00D01BC4" w:rsidRPr="002357A8" w:rsidRDefault="00D01BC4" w:rsidP="00D01BC4">
            <w:pPr>
              <w:rPr>
                <w:sz w:val="22"/>
                <w:szCs w:val="22"/>
                <w:lang w:val="en-GB"/>
              </w:rPr>
            </w:pPr>
            <w:r w:rsidRPr="002357A8">
              <w:rPr>
                <w:sz w:val="22"/>
                <w:szCs w:val="22"/>
                <w:lang w:val="en-GB"/>
              </w:rPr>
              <w:t>Local impact</w:t>
            </w:r>
          </w:p>
        </w:tc>
        <w:tc>
          <w:tcPr>
            <w:tcW w:w="3685" w:type="dxa"/>
          </w:tcPr>
          <w:p w14:paraId="7819F7D4" w14:textId="36EF972E" w:rsidR="00D01BC4" w:rsidRPr="002357A8" w:rsidRDefault="00D01BC4" w:rsidP="00D01BC4">
            <w:pPr>
              <w:cnfStyle w:val="000000100000" w:firstRow="0" w:lastRow="0" w:firstColumn="0" w:lastColumn="0" w:oddVBand="0" w:evenVBand="0" w:oddHBand="1" w:evenHBand="0" w:firstRowFirstColumn="0" w:firstRowLastColumn="0" w:lastRowFirstColumn="0" w:lastRowLastColumn="0"/>
              <w:rPr>
                <w:i/>
                <w:iCs/>
                <w:sz w:val="22"/>
                <w:szCs w:val="22"/>
                <w:lang w:val="en-GB"/>
              </w:rPr>
            </w:pPr>
            <w:r w:rsidRPr="002357A8">
              <w:rPr>
                <w:i/>
                <w:iCs/>
                <w:sz w:val="22"/>
                <w:szCs w:val="22"/>
                <w:lang w:val="en-GB"/>
              </w:rPr>
              <w:t xml:space="preserve">Enable broad access to digital acceleration + </w:t>
            </w:r>
            <w:r w:rsidR="002357A8">
              <w:rPr>
                <w:i/>
                <w:iCs/>
                <w:sz w:val="22"/>
                <w:szCs w:val="22"/>
                <w:lang w:val="en-GB"/>
              </w:rPr>
              <w:t xml:space="preserve">spread of </w:t>
            </w:r>
            <w:r w:rsidRPr="002357A8">
              <w:rPr>
                <w:i/>
                <w:iCs/>
                <w:sz w:val="22"/>
                <w:szCs w:val="22"/>
                <w:lang w:val="en-GB"/>
              </w:rPr>
              <w:t>advanced technologies</w:t>
            </w:r>
          </w:p>
        </w:tc>
        <w:tc>
          <w:tcPr>
            <w:tcW w:w="3345" w:type="dxa"/>
          </w:tcPr>
          <w:p w14:paraId="174581F2" w14:textId="6AC87938" w:rsidR="00D01BC4" w:rsidRPr="002357A8" w:rsidRDefault="00D01BC4" w:rsidP="00D01BC4">
            <w:pPr>
              <w:cnfStyle w:val="000000100000" w:firstRow="0" w:lastRow="0" w:firstColumn="0" w:lastColumn="0" w:oddVBand="0" w:evenVBand="0" w:oddHBand="1" w:evenHBand="0" w:firstRowFirstColumn="0" w:firstRowLastColumn="0" w:lastRowFirstColumn="0" w:lastRowLastColumn="0"/>
              <w:rPr>
                <w:i/>
                <w:iCs/>
                <w:sz w:val="22"/>
                <w:szCs w:val="22"/>
                <w:lang w:val="en-GB"/>
              </w:rPr>
            </w:pPr>
            <w:r w:rsidRPr="002357A8">
              <w:rPr>
                <w:i/>
                <w:iCs/>
                <w:sz w:val="22"/>
                <w:szCs w:val="22"/>
                <w:lang w:val="en-GB"/>
              </w:rPr>
              <w:t>Enhance regional innovation and technology development.</w:t>
            </w:r>
            <w:r w:rsidR="002357A8">
              <w:rPr>
                <w:i/>
                <w:iCs/>
                <w:sz w:val="22"/>
                <w:szCs w:val="22"/>
                <w:lang w:val="en-GB"/>
              </w:rPr>
              <w:t xml:space="preserve"> Spread within region.</w:t>
            </w:r>
          </w:p>
        </w:tc>
      </w:tr>
      <w:tr w:rsidR="00D01BC4" w:rsidRPr="002357A8" w14:paraId="380081CB" w14:textId="77777777" w:rsidTr="00D01BC4">
        <w:tc>
          <w:tcPr>
            <w:cnfStyle w:val="001000000000" w:firstRow="0" w:lastRow="0" w:firstColumn="1" w:lastColumn="0" w:oddVBand="0" w:evenVBand="0" w:oddHBand="0" w:evenHBand="0" w:firstRowFirstColumn="0" w:firstRowLastColumn="0" w:lastRowFirstColumn="0" w:lastRowLastColumn="0"/>
            <w:tcW w:w="1980" w:type="dxa"/>
          </w:tcPr>
          <w:p w14:paraId="3EB32949" w14:textId="60E88E08" w:rsidR="00D01BC4" w:rsidRPr="002357A8" w:rsidRDefault="002357A8" w:rsidP="00D01BC4">
            <w:pPr>
              <w:rPr>
                <w:sz w:val="22"/>
                <w:szCs w:val="22"/>
                <w:lang w:val="en-GB"/>
              </w:rPr>
            </w:pPr>
            <w:r>
              <w:rPr>
                <w:sz w:val="22"/>
                <w:szCs w:val="22"/>
                <w:lang w:val="en-GB"/>
              </w:rPr>
              <w:t>Training</w:t>
            </w:r>
          </w:p>
        </w:tc>
        <w:tc>
          <w:tcPr>
            <w:tcW w:w="3685" w:type="dxa"/>
          </w:tcPr>
          <w:p w14:paraId="7A43ACE2" w14:textId="6B742146" w:rsidR="00D01BC4" w:rsidRPr="002357A8" w:rsidRDefault="00D01BC4" w:rsidP="00D01BC4">
            <w:pPr>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2357A8">
              <w:rPr>
                <w:i/>
                <w:iCs/>
                <w:sz w:val="22"/>
                <w:szCs w:val="22"/>
                <w:lang w:val="en-GB"/>
              </w:rPr>
              <w:t>Trained on Advanced Technologies.</w:t>
            </w:r>
          </w:p>
        </w:tc>
        <w:tc>
          <w:tcPr>
            <w:tcW w:w="3345" w:type="dxa"/>
          </w:tcPr>
          <w:p w14:paraId="114C525D" w14:textId="49586AD2" w:rsidR="00D01BC4" w:rsidRPr="002357A8" w:rsidRDefault="002357A8" w:rsidP="00D01BC4">
            <w:pPr>
              <w:cnfStyle w:val="000000000000" w:firstRow="0" w:lastRow="0" w:firstColumn="0" w:lastColumn="0" w:oddVBand="0" w:evenVBand="0" w:oddHBand="0" w:evenHBand="0" w:firstRowFirstColumn="0" w:firstRowLastColumn="0" w:lastRowFirstColumn="0" w:lastRowLastColumn="0"/>
              <w:rPr>
                <w:i/>
                <w:iCs/>
                <w:sz w:val="22"/>
                <w:szCs w:val="22"/>
                <w:lang w:val="en-GB"/>
              </w:rPr>
            </w:pPr>
            <w:r w:rsidRPr="002357A8">
              <w:rPr>
                <w:i/>
                <w:iCs/>
                <w:sz w:val="22"/>
                <w:szCs w:val="22"/>
                <w:lang w:val="en-GB"/>
              </w:rPr>
              <w:t>No centralised</w:t>
            </w:r>
            <w:r>
              <w:rPr>
                <w:i/>
                <w:iCs/>
                <w:sz w:val="22"/>
                <w:szCs w:val="22"/>
                <w:lang w:val="en-GB"/>
              </w:rPr>
              <w:t xml:space="preserve"> technology</w:t>
            </w:r>
            <w:r w:rsidRPr="002357A8">
              <w:rPr>
                <w:i/>
                <w:iCs/>
                <w:sz w:val="22"/>
                <w:szCs w:val="22"/>
                <w:lang w:val="en-GB"/>
              </w:rPr>
              <w:t xml:space="preserve"> training </w:t>
            </w:r>
          </w:p>
        </w:tc>
      </w:tr>
    </w:tbl>
    <w:p w14:paraId="556012A4" w14:textId="77777777" w:rsidR="00D01BC4" w:rsidRPr="002357A8" w:rsidRDefault="00D01BC4" w:rsidP="00D01BC4">
      <w:pPr>
        <w:pStyle w:val="BodyText"/>
        <w:rPr>
          <w:sz w:val="21"/>
          <w:szCs w:val="18"/>
        </w:rPr>
      </w:pPr>
    </w:p>
    <w:p w14:paraId="5F688970" w14:textId="1D9417C1" w:rsidR="00D01BC4" w:rsidRPr="002357A8" w:rsidRDefault="00D01BC4" w:rsidP="00D01BC4">
      <w:pPr>
        <w:pStyle w:val="BodyText"/>
      </w:pPr>
      <w:r w:rsidRPr="002357A8">
        <w:rPr>
          <w:b/>
          <w:bCs/>
          <w:sz w:val="21"/>
          <w:szCs w:val="18"/>
        </w:rPr>
        <w:t>Concluding,</w:t>
      </w:r>
      <w:r w:rsidRPr="002357A8">
        <w:rPr>
          <w:sz w:val="21"/>
          <w:szCs w:val="18"/>
        </w:rPr>
        <w:t xml:space="preserve"> it can be said that the EDIHs will often be based on a </w:t>
      </w:r>
      <w:proofErr w:type="gramStart"/>
      <w:r w:rsidRPr="002357A8">
        <w:rPr>
          <w:sz w:val="21"/>
          <w:szCs w:val="18"/>
        </w:rPr>
        <w:t>DIH, but</w:t>
      </w:r>
      <w:proofErr w:type="gramEnd"/>
      <w:r w:rsidRPr="002357A8">
        <w:rPr>
          <w:sz w:val="21"/>
          <w:szCs w:val="18"/>
        </w:rPr>
        <w:t xml:space="preserve"> being an EDIH expands </w:t>
      </w:r>
      <w:r w:rsidRPr="002357A8">
        <w:t>its active ecosystem to be able to offer support for digital transformation services at large. Special focus is seen on the uptake of digital technologies for the industry/public sector at large, as well as acting as a gateway to Europe.</w:t>
      </w:r>
    </w:p>
    <w:p w14:paraId="502CDEFE" w14:textId="486D7730" w:rsidR="00D01BC4" w:rsidRPr="002357A8" w:rsidRDefault="00D01BC4" w:rsidP="00D01BC4">
      <w:pPr>
        <w:pStyle w:val="BodyText"/>
      </w:pPr>
      <w:r w:rsidRPr="002357A8">
        <w:t>In addition to the individual EDIH an overarching Digital Transformation Accelerator (DTA) is to be funded to cohere the EDIH network. Therefore, current IA networks might consider starting a dialogue with the DTA and the EDIHs soon after they are selected.</w:t>
      </w:r>
    </w:p>
    <w:sectPr w:rsidR="00D01BC4" w:rsidRPr="002357A8" w:rsidSect="007950FC">
      <w:headerReference w:type="default"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EA9D1" w14:textId="77777777" w:rsidR="009677D0" w:rsidRDefault="009677D0" w:rsidP="001B39B3">
      <w:r>
        <w:separator/>
      </w:r>
    </w:p>
  </w:endnote>
  <w:endnote w:type="continuationSeparator" w:id="0">
    <w:p w14:paraId="07639FF9" w14:textId="77777777" w:rsidR="009677D0" w:rsidRDefault="009677D0" w:rsidP="001B39B3">
      <w:r>
        <w:continuationSeparator/>
      </w:r>
    </w:p>
  </w:endnote>
  <w:endnote w:type="continuationNotice" w:id="1">
    <w:p w14:paraId="64C460D9" w14:textId="77777777" w:rsidR="009677D0" w:rsidRDefault="009677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EB6C" w14:textId="77777777" w:rsidR="004158E4" w:rsidRPr="008B4A85" w:rsidRDefault="004158E4" w:rsidP="004158E4">
    <w:pPr>
      <w:pStyle w:val="Footer"/>
      <w:ind w:left="720"/>
      <w:rPr>
        <w:color w:val="808080" w:themeColor="background1" w:themeShade="80"/>
        <w:sz w:val="18"/>
      </w:rPr>
    </w:pPr>
    <w:r w:rsidRPr="008B4A85">
      <w:rPr>
        <w:noProof/>
        <w:sz w:val="18"/>
      </w:rPr>
      <w:drawing>
        <wp:anchor distT="0" distB="0" distL="114300" distR="114300" simplePos="0" relativeHeight="251658241" behindDoc="0" locked="0" layoutInCell="1" hidden="0" allowOverlap="1" wp14:anchorId="0DAFC66C" wp14:editId="2B5BCCAA">
          <wp:simplePos x="0" y="0"/>
          <wp:positionH relativeFrom="column">
            <wp:posOffset>14019</wp:posOffset>
          </wp:positionH>
          <wp:positionV relativeFrom="paragraph">
            <wp:posOffset>22225</wp:posOffset>
          </wp:positionV>
          <wp:extent cx="385200" cy="237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5200" cy="237600"/>
                  </a:xfrm>
                  <a:prstGeom prst="rect">
                    <a:avLst/>
                  </a:prstGeom>
                  <a:ln/>
                </pic:spPr>
              </pic:pic>
            </a:graphicData>
          </a:graphic>
          <wp14:sizeRelH relativeFrom="margin">
            <wp14:pctWidth>0</wp14:pctWidth>
          </wp14:sizeRelH>
          <wp14:sizeRelV relativeFrom="margin">
            <wp14:pctHeight>0</wp14:pctHeight>
          </wp14:sizeRelV>
        </wp:anchor>
      </w:drawing>
    </w:r>
    <w:r w:rsidRPr="008B4A85">
      <w:rPr>
        <w:color w:val="808080" w:themeColor="background1" w:themeShade="80"/>
        <w:sz w:val="18"/>
      </w:rPr>
      <w:t xml:space="preserve">The RODIN project has received funding from the European Union’s Horizon 2020 research </w:t>
    </w:r>
  </w:p>
  <w:p w14:paraId="7ECA503E" w14:textId="77777777" w:rsidR="006B1C87" w:rsidRPr="004158E4" w:rsidRDefault="004158E4" w:rsidP="004158E4">
    <w:pPr>
      <w:pStyle w:val="Footer"/>
      <w:ind w:left="720"/>
      <w:jc w:val="both"/>
      <w:rPr>
        <w:color w:val="808080" w:themeColor="background1" w:themeShade="80"/>
        <w:sz w:val="18"/>
      </w:rPr>
    </w:pPr>
    <w:r w:rsidRPr="008B4A85">
      <w:rPr>
        <w:color w:val="808080" w:themeColor="background1" w:themeShade="80"/>
        <w:sz w:val="18"/>
      </w:rPr>
      <w:t xml:space="preserve">and innovation </w:t>
    </w:r>
    <w:proofErr w:type="spellStart"/>
    <w:r w:rsidRPr="008B4A85">
      <w:rPr>
        <w:color w:val="808080" w:themeColor="background1" w:themeShade="80"/>
        <w:sz w:val="18"/>
      </w:rPr>
      <w:t>programme</w:t>
    </w:r>
    <w:proofErr w:type="spellEnd"/>
    <w:r w:rsidRPr="008B4A85">
      <w:rPr>
        <w:color w:val="808080" w:themeColor="background1" w:themeShade="80"/>
        <w:sz w:val="18"/>
      </w:rPr>
      <w:t xml:space="preserve"> under grant agreement No 825263.</w:t>
    </w:r>
    <w:r w:rsidRPr="008B4A85">
      <w:rPr>
        <w:color w:val="808080" w:themeColor="background1" w:themeShade="80"/>
        <w:sz w:val="18"/>
      </w:rPr>
      <w:tab/>
    </w:r>
    <w:sdt>
      <w:sdtPr>
        <w:rPr>
          <w:color w:val="808080" w:themeColor="background1" w:themeShade="80"/>
          <w:sz w:val="18"/>
        </w:rPr>
        <w:id w:val="1859859418"/>
        <w:docPartObj>
          <w:docPartGallery w:val="Page Numbers (Bottom of Page)"/>
          <w:docPartUnique/>
        </w:docPartObj>
      </w:sdtPr>
      <w:sdtEndPr/>
      <w:sdtContent>
        <w:r w:rsidRPr="008B4A85">
          <w:rPr>
            <w:color w:val="808080" w:themeColor="background1" w:themeShade="80"/>
            <w:sz w:val="18"/>
          </w:rPr>
          <w:fldChar w:fldCharType="begin"/>
        </w:r>
        <w:r w:rsidRPr="008B4A85">
          <w:rPr>
            <w:color w:val="808080" w:themeColor="background1" w:themeShade="80"/>
            <w:sz w:val="18"/>
          </w:rPr>
          <w:instrText>PAGE   \* MERGEFORMAT</w:instrText>
        </w:r>
        <w:r w:rsidRPr="008B4A85">
          <w:rPr>
            <w:color w:val="808080" w:themeColor="background1" w:themeShade="80"/>
            <w:sz w:val="18"/>
          </w:rPr>
          <w:fldChar w:fldCharType="separate"/>
        </w:r>
        <w:r>
          <w:rPr>
            <w:color w:val="808080" w:themeColor="background1" w:themeShade="80"/>
            <w:sz w:val="18"/>
          </w:rPr>
          <w:t>1</w:t>
        </w:r>
        <w:r w:rsidRPr="008B4A85">
          <w:rPr>
            <w:color w:val="808080" w:themeColor="background1" w:themeShade="80"/>
            <w:sz w:val="18"/>
          </w:rPr>
          <w:fldChar w:fldCharType="end"/>
        </w:r>
      </w:sdtContent>
    </w:sdt>
    <w:r w:rsidR="00727A2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AE8DA" w14:textId="77777777" w:rsidR="009677D0" w:rsidRDefault="009677D0" w:rsidP="001B39B3">
      <w:r>
        <w:separator/>
      </w:r>
    </w:p>
  </w:footnote>
  <w:footnote w:type="continuationSeparator" w:id="0">
    <w:p w14:paraId="79013C40" w14:textId="77777777" w:rsidR="009677D0" w:rsidRDefault="009677D0" w:rsidP="001B39B3">
      <w:r>
        <w:continuationSeparator/>
      </w:r>
    </w:p>
  </w:footnote>
  <w:footnote w:type="continuationNotice" w:id="1">
    <w:p w14:paraId="7D0F5EBA" w14:textId="77777777" w:rsidR="009677D0" w:rsidRDefault="009677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4ADE4" w14:textId="77777777" w:rsidR="001B39B3" w:rsidRDefault="004158E4">
    <w:pPr>
      <w:pStyle w:val="Header"/>
    </w:pPr>
    <w:r>
      <w:rPr>
        <w:noProof/>
      </w:rPr>
      <w:drawing>
        <wp:anchor distT="0" distB="0" distL="114300" distR="114300" simplePos="0" relativeHeight="251658242" behindDoc="1" locked="0" layoutInCell="1" allowOverlap="1" wp14:anchorId="044D7B7F" wp14:editId="2B8763DF">
          <wp:simplePos x="0" y="0"/>
          <wp:positionH relativeFrom="column">
            <wp:posOffset>-46355</wp:posOffset>
          </wp:positionH>
          <wp:positionV relativeFrom="paragraph">
            <wp:posOffset>-188595</wp:posOffset>
          </wp:positionV>
          <wp:extent cx="1566545" cy="615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19-02-04 11.38.45.png"/>
                  <pic:cNvPicPr/>
                </pic:nvPicPr>
                <pic:blipFill>
                  <a:blip r:embed="rId1">
                    <a:extLst>
                      <a:ext uri="{28A0092B-C50C-407E-A947-70E740481C1C}">
                        <a14:useLocalDpi xmlns:a14="http://schemas.microsoft.com/office/drawing/2010/main" val="0"/>
                      </a:ext>
                    </a:extLst>
                  </a:blip>
                  <a:stretch>
                    <a:fillRect/>
                  </a:stretch>
                </pic:blipFill>
                <pic:spPr>
                  <a:xfrm>
                    <a:off x="0" y="0"/>
                    <a:ext cx="1566545" cy="615315"/>
                  </a:xfrm>
                  <a:prstGeom prst="rect">
                    <a:avLst/>
                  </a:prstGeom>
                </pic:spPr>
              </pic:pic>
            </a:graphicData>
          </a:graphic>
        </wp:anchor>
      </w:drawing>
    </w:r>
    <w:r w:rsidR="001B39B3">
      <w:rPr>
        <w:noProof/>
      </w:rPr>
      <mc:AlternateContent>
        <mc:Choice Requires="wps">
          <w:drawing>
            <wp:anchor distT="0" distB="0" distL="114300" distR="114300" simplePos="0" relativeHeight="251658240" behindDoc="0" locked="0" layoutInCell="1" allowOverlap="1" wp14:anchorId="040F265A" wp14:editId="543EF0FC">
              <wp:simplePos x="0" y="0"/>
              <wp:positionH relativeFrom="column">
                <wp:posOffset>4091349</wp:posOffset>
              </wp:positionH>
              <wp:positionV relativeFrom="paragraph">
                <wp:posOffset>201497</wp:posOffset>
              </wp:positionV>
              <wp:extent cx="1837854" cy="226337"/>
              <wp:effectExtent l="0" t="0" r="0" b="0"/>
              <wp:wrapNone/>
              <wp:docPr id="3" name="Text Box 3"/>
              <wp:cNvGraphicFramePr/>
              <a:graphic xmlns:a="http://schemas.openxmlformats.org/drawingml/2006/main">
                <a:graphicData uri="http://schemas.microsoft.com/office/word/2010/wordprocessingShape">
                  <wps:wsp>
                    <wps:cNvSpPr txBox="1"/>
                    <wps:spPr>
                      <a:xfrm>
                        <a:off x="0" y="0"/>
                        <a:ext cx="1837854" cy="226337"/>
                      </a:xfrm>
                      <a:prstGeom prst="rect">
                        <a:avLst/>
                      </a:prstGeom>
                      <a:noFill/>
                      <a:ln w="6350">
                        <a:noFill/>
                      </a:ln>
                    </wps:spPr>
                    <wps:txbx>
                      <w:txbxContent>
                        <w:p w14:paraId="68F660B5" w14:textId="77777777" w:rsidR="001B39B3" w:rsidRPr="0095721B" w:rsidRDefault="001B39B3" w:rsidP="001B39B3">
                          <w:pPr>
                            <w:jc w:val="right"/>
                            <w:rPr>
                              <w:rFonts w:asciiTheme="majorHAnsi" w:hAnsiTheme="majorHAnsi" w:cstheme="majorHAnsi"/>
                              <w:sz w:val="20"/>
                              <w:szCs w:val="20"/>
                            </w:rPr>
                          </w:pPr>
                          <w:r w:rsidRPr="0095721B">
                            <w:rPr>
                              <w:rFonts w:asciiTheme="majorHAnsi" w:hAnsiTheme="majorHAnsi" w:cstheme="majorHAnsi"/>
                              <w:color w:val="A5A5A5" w:themeColor="accent3"/>
                              <w:sz w:val="20"/>
                              <w:szCs w:val="20"/>
                            </w:rPr>
                            <w:t>www.rodin-robotics.eu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F265A" id="_x0000_t202" coordsize="21600,21600" o:spt="202" path="m,l,21600r21600,l21600,xe">
              <v:stroke joinstyle="miter"/>
              <v:path gradientshapeok="t" o:connecttype="rect"/>
            </v:shapetype>
            <v:shape id="Text Box 3" o:spid="_x0000_s1026" type="#_x0000_t202" style="position:absolute;margin-left:322.15pt;margin-top:15.85pt;width:144.7pt;height:17.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izcyLgIAAFEEAAAOAAAAZHJzL2Uyb0RvYy54bWysVFFv2jAQfp+0/2D5fQQIUBoRKtaKaRJq&#13;&#10;K8HUZ+PYJJLj82xDwn79zk6gqNvTtBfnfHe+833f5ywe2lqRk7CuAp3T0WBIidAcikofcvpjt/4y&#13;&#10;p8R5pgumQIucnoWjD8vPnxaNycQYSlCFsASLaJc1Jqel9yZLEsdLUTM3ACM0BiXYmnnc2kNSWNZg&#13;&#10;9Vol4+FwljRgC2OBC+fQ+9QF6TLWl1Jw/yKlE56onOLdfFxtXPdhTZYLlh0sM2XF+2uwf7hFzSqN&#13;&#10;Ta+lnphn5GirP0rVFbfgQPoBhzoBKSsu4gw4zWj4YZptyYyIsyA4zlxhcv+vLH8+vVpSFTlNKdGs&#13;&#10;Rop2ovXkK7QkDeg0xmWYtDWY5lt0I8sXv0NnGLqVtg5fHIdgHHE+X7ENxXg4NE/v5tMJJRxj4/Es&#13;&#10;Te9CmeT9tLHOfxNQk2Dk1CJ3EVJ22jjfpV5SQjMN60qpyJ/SpMnpLJ0O44FrBIsrjT3CDN1dg+Xb&#13;&#10;fdsPtofijHNZ6HThDF9X2HzDnH9lFoWAo6C4/QsuUgE2gd6ipAT762/+kI/8YJSSBoWVU/fzyKyg&#13;&#10;RH3XyNz9aDIJSoybyfRujBt7G9nfRvSxfgTU7gifkeHRDPleXUxpoX7DN7AKXTHENMfeOfUX89F3&#13;&#10;csc3xMVqFZNQe4b5jd4aHkoHOAO0u/aNWdPj75G5Z7hIkGUfaOhyOyJWRw+yihwFgDtUe9xRt5Hl&#13;&#10;/o2Fh3G7j1nvf4LlbwAAAP//AwBQSwMEFAAGAAgAAAAhAPPUXznkAAAADgEAAA8AAABkcnMvZG93&#13;&#10;bnJldi54bWxMT8lOwzAQvSPxD9ZU4kad1qVLGqeqgiokBIeWXrg58TSJ8BJitw18PcMJLqMZvTdv&#13;&#10;yTaDNeyCfWi9kzAZJ8DQVV63rpZwfNvdL4GFqJxWxjuU8IUBNvntTaZS7a9uj5dDrBmJuJAqCU2M&#13;&#10;Xcp5qBq0Kox9h46wk++tinT2Nde9upK4NXyaJHNuVevIoVEdFg1WH4ezlfBc7F7Vvpza5bcpnl5O&#13;&#10;2+7z+P4g5d1oeFzT2K6BRRzi3wf8dqD8kFOw0p+dDsxImM9mgqgSxGQBjAgrIWgpCVkI4HnG/9fI&#13;&#10;fwAAAP//AwBQSwECLQAUAAYACAAAACEAtoM4kv4AAADhAQAAEwAAAAAAAAAAAAAAAAAAAAAAW0Nv&#13;&#10;bnRlbnRfVHlwZXNdLnhtbFBLAQItABQABgAIAAAAIQA4/SH/1gAAAJQBAAALAAAAAAAAAAAAAAAA&#13;&#10;AC8BAABfcmVscy8ucmVsc1BLAQItABQABgAIAAAAIQAkizcyLgIAAFEEAAAOAAAAAAAAAAAAAAAA&#13;&#10;AC4CAABkcnMvZTJvRG9jLnhtbFBLAQItABQABgAIAAAAIQDz1F855AAAAA4BAAAPAAAAAAAAAAAA&#13;&#10;AAAAAIgEAABkcnMvZG93bnJldi54bWxQSwUGAAAAAAQABADzAAAAmQUAAAAA&#13;&#10;" filled="f" stroked="f" strokeweight=".5pt">
              <v:textbox>
                <w:txbxContent>
                  <w:p w14:paraId="68F660B5" w14:textId="77777777" w:rsidR="001B39B3" w:rsidRPr="0095721B" w:rsidRDefault="001B39B3" w:rsidP="001B39B3">
                    <w:pPr>
                      <w:jc w:val="right"/>
                      <w:rPr>
                        <w:rFonts w:asciiTheme="majorHAnsi" w:hAnsiTheme="majorHAnsi" w:cstheme="majorHAnsi"/>
                        <w:sz w:val="20"/>
                        <w:szCs w:val="20"/>
                      </w:rPr>
                    </w:pPr>
                    <w:r w:rsidRPr="0095721B">
                      <w:rPr>
                        <w:rFonts w:asciiTheme="majorHAnsi" w:hAnsiTheme="majorHAnsi" w:cstheme="majorHAnsi"/>
                        <w:color w:val="A5A5A5" w:themeColor="accent3"/>
                        <w:sz w:val="20"/>
                        <w:szCs w:val="20"/>
                      </w:rPr>
                      <w:t>www.rodin-robotics.eu</w:t>
                    </w:r>
                  </w:p>
                </w:txbxContent>
              </v:textbox>
            </v:shape>
          </w:pict>
        </mc:Fallback>
      </mc:AlternateContent>
    </w:r>
    <w:r w:rsidR="001B39B3">
      <w:tab/>
    </w:r>
    <w:r w:rsidR="001B39B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14BB"/>
    <w:multiLevelType w:val="hybridMultilevel"/>
    <w:tmpl w:val="EA926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95C16"/>
    <w:multiLevelType w:val="hybridMultilevel"/>
    <w:tmpl w:val="1304DE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74683A"/>
    <w:multiLevelType w:val="hybridMultilevel"/>
    <w:tmpl w:val="AAB8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A3E6C"/>
    <w:multiLevelType w:val="multilevel"/>
    <w:tmpl w:val="3F94988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0067A3"/>
    <w:multiLevelType w:val="multilevel"/>
    <w:tmpl w:val="E5E2967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0D8"/>
    <w:rsid w:val="00001F84"/>
    <w:rsid w:val="00013E98"/>
    <w:rsid w:val="00021F50"/>
    <w:rsid w:val="00022EC1"/>
    <w:rsid w:val="000537F6"/>
    <w:rsid w:val="00055B35"/>
    <w:rsid w:val="00060153"/>
    <w:rsid w:val="00063CB4"/>
    <w:rsid w:val="000778D4"/>
    <w:rsid w:val="00082A22"/>
    <w:rsid w:val="00091B26"/>
    <w:rsid w:val="00092DB9"/>
    <w:rsid w:val="000A486C"/>
    <w:rsid w:val="000A56C2"/>
    <w:rsid w:val="000A72FC"/>
    <w:rsid w:val="000B45C9"/>
    <w:rsid w:val="000B755A"/>
    <w:rsid w:val="000C0A49"/>
    <w:rsid w:val="000C3386"/>
    <w:rsid w:val="000C74BE"/>
    <w:rsid w:val="000D3B8E"/>
    <w:rsid w:val="000E1786"/>
    <w:rsid w:val="000E5538"/>
    <w:rsid w:val="000F000D"/>
    <w:rsid w:val="000F301F"/>
    <w:rsid w:val="00105E6A"/>
    <w:rsid w:val="00120FA4"/>
    <w:rsid w:val="00125F46"/>
    <w:rsid w:val="0013429B"/>
    <w:rsid w:val="00143536"/>
    <w:rsid w:val="001525C7"/>
    <w:rsid w:val="001900E6"/>
    <w:rsid w:val="0019271D"/>
    <w:rsid w:val="00195780"/>
    <w:rsid w:val="001A2337"/>
    <w:rsid w:val="001A5BD0"/>
    <w:rsid w:val="001B04FA"/>
    <w:rsid w:val="001B39B3"/>
    <w:rsid w:val="001C5667"/>
    <w:rsid w:val="001D3999"/>
    <w:rsid w:val="001E19E6"/>
    <w:rsid w:val="001E4879"/>
    <w:rsid w:val="001F2C69"/>
    <w:rsid w:val="0021023C"/>
    <w:rsid w:val="00213B59"/>
    <w:rsid w:val="00214E20"/>
    <w:rsid w:val="00222BD2"/>
    <w:rsid w:val="002230E2"/>
    <w:rsid w:val="002357A8"/>
    <w:rsid w:val="00241631"/>
    <w:rsid w:val="002418A7"/>
    <w:rsid w:val="00245BE0"/>
    <w:rsid w:val="00255251"/>
    <w:rsid w:val="00274B5C"/>
    <w:rsid w:val="00280D4D"/>
    <w:rsid w:val="00292927"/>
    <w:rsid w:val="002B5BD0"/>
    <w:rsid w:val="002D48AF"/>
    <w:rsid w:val="002E6C81"/>
    <w:rsid w:val="002F3AEA"/>
    <w:rsid w:val="002F550D"/>
    <w:rsid w:val="002F7304"/>
    <w:rsid w:val="00303180"/>
    <w:rsid w:val="003113ED"/>
    <w:rsid w:val="00322145"/>
    <w:rsid w:val="00322A07"/>
    <w:rsid w:val="00343764"/>
    <w:rsid w:val="003510D5"/>
    <w:rsid w:val="00351F4E"/>
    <w:rsid w:val="00353369"/>
    <w:rsid w:val="0036328A"/>
    <w:rsid w:val="00366DF3"/>
    <w:rsid w:val="003B2A97"/>
    <w:rsid w:val="003B6E97"/>
    <w:rsid w:val="003C6388"/>
    <w:rsid w:val="003F54FE"/>
    <w:rsid w:val="003F651B"/>
    <w:rsid w:val="00400946"/>
    <w:rsid w:val="004057A2"/>
    <w:rsid w:val="00410BDD"/>
    <w:rsid w:val="004128E3"/>
    <w:rsid w:val="004158E4"/>
    <w:rsid w:val="00433309"/>
    <w:rsid w:val="004374EC"/>
    <w:rsid w:val="004440D8"/>
    <w:rsid w:val="00453AAE"/>
    <w:rsid w:val="00462019"/>
    <w:rsid w:val="0047118F"/>
    <w:rsid w:val="004801FD"/>
    <w:rsid w:val="00481FC0"/>
    <w:rsid w:val="0049678C"/>
    <w:rsid w:val="004A0B1B"/>
    <w:rsid w:val="004A708E"/>
    <w:rsid w:val="004A7C8D"/>
    <w:rsid w:val="004B7823"/>
    <w:rsid w:val="004C71D2"/>
    <w:rsid w:val="004C7413"/>
    <w:rsid w:val="004D0F30"/>
    <w:rsid w:val="004D13FA"/>
    <w:rsid w:val="004E62E4"/>
    <w:rsid w:val="004E7205"/>
    <w:rsid w:val="00505157"/>
    <w:rsid w:val="00514A95"/>
    <w:rsid w:val="00523834"/>
    <w:rsid w:val="00524474"/>
    <w:rsid w:val="005417E9"/>
    <w:rsid w:val="005628C7"/>
    <w:rsid w:val="005636D1"/>
    <w:rsid w:val="005654D5"/>
    <w:rsid w:val="00580015"/>
    <w:rsid w:val="00590E58"/>
    <w:rsid w:val="005A2363"/>
    <w:rsid w:val="005A369A"/>
    <w:rsid w:val="005B2BD2"/>
    <w:rsid w:val="005C358C"/>
    <w:rsid w:val="005C6820"/>
    <w:rsid w:val="005D0A8C"/>
    <w:rsid w:val="005F2944"/>
    <w:rsid w:val="00601ADB"/>
    <w:rsid w:val="0060352F"/>
    <w:rsid w:val="00624E2E"/>
    <w:rsid w:val="0063021F"/>
    <w:rsid w:val="006320FF"/>
    <w:rsid w:val="0063367C"/>
    <w:rsid w:val="00634FFD"/>
    <w:rsid w:val="00635437"/>
    <w:rsid w:val="00637D55"/>
    <w:rsid w:val="00653993"/>
    <w:rsid w:val="00667246"/>
    <w:rsid w:val="006677E0"/>
    <w:rsid w:val="00683C0A"/>
    <w:rsid w:val="00693949"/>
    <w:rsid w:val="006960ED"/>
    <w:rsid w:val="006A7422"/>
    <w:rsid w:val="006B1327"/>
    <w:rsid w:val="006B1C87"/>
    <w:rsid w:val="006B30B0"/>
    <w:rsid w:val="006C120A"/>
    <w:rsid w:val="006D157D"/>
    <w:rsid w:val="006D2E84"/>
    <w:rsid w:val="006E13B5"/>
    <w:rsid w:val="006F00B7"/>
    <w:rsid w:val="006F450C"/>
    <w:rsid w:val="007071C3"/>
    <w:rsid w:val="007105C8"/>
    <w:rsid w:val="00714426"/>
    <w:rsid w:val="0071578D"/>
    <w:rsid w:val="00727A2A"/>
    <w:rsid w:val="00734C36"/>
    <w:rsid w:val="00745062"/>
    <w:rsid w:val="00752CC4"/>
    <w:rsid w:val="007564FF"/>
    <w:rsid w:val="0077014B"/>
    <w:rsid w:val="007708C2"/>
    <w:rsid w:val="00772C79"/>
    <w:rsid w:val="00777C62"/>
    <w:rsid w:val="0078344F"/>
    <w:rsid w:val="007950FC"/>
    <w:rsid w:val="007A2753"/>
    <w:rsid w:val="007A4081"/>
    <w:rsid w:val="007A5CFA"/>
    <w:rsid w:val="007A6A25"/>
    <w:rsid w:val="007B2A16"/>
    <w:rsid w:val="007B322F"/>
    <w:rsid w:val="007B6C9D"/>
    <w:rsid w:val="007B794D"/>
    <w:rsid w:val="007C19C5"/>
    <w:rsid w:val="007D1C4B"/>
    <w:rsid w:val="007D1F6C"/>
    <w:rsid w:val="007E3DCC"/>
    <w:rsid w:val="007F2C21"/>
    <w:rsid w:val="008228FB"/>
    <w:rsid w:val="00824B68"/>
    <w:rsid w:val="008364DA"/>
    <w:rsid w:val="00844DB8"/>
    <w:rsid w:val="008517BE"/>
    <w:rsid w:val="00856112"/>
    <w:rsid w:val="00856934"/>
    <w:rsid w:val="008571BB"/>
    <w:rsid w:val="00864E0D"/>
    <w:rsid w:val="008660C3"/>
    <w:rsid w:val="0088364E"/>
    <w:rsid w:val="008971C1"/>
    <w:rsid w:val="00897963"/>
    <w:rsid w:val="008A1E5E"/>
    <w:rsid w:val="008A2890"/>
    <w:rsid w:val="008A4F82"/>
    <w:rsid w:val="008B483F"/>
    <w:rsid w:val="008C6E84"/>
    <w:rsid w:val="008D10A7"/>
    <w:rsid w:val="008D1803"/>
    <w:rsid w:val="008D2216"/>
    <w:rsid w:val="008D386B"/>
    <w:rsid w:val="008D7492"/>
    <w:rsid w:val="008E28B7"/>
    <w:rsid w:val="008F5811"/>
    <w:rsid w:val="00911C2B"/>
    <w:rsid w:val="00915922"/>
    <w:rsid w:val="00927CC9"/>
    <w:rsid w:val="00932CEE"/>
    <w:rsid w:val="00932D82"/>
    <w:rsid w:val="00936DCB"/>
    <w:rsid w:val="00937117"/>
    <w:rsid w:val="00946B04"/>
    <w:rsid w:val="00952C31"/>
    <w:rsid w:val="0095721B"/>
    <w:rsid w:val="00961FF5"/>
    <w:rsid w:val="00962BB9"/>
    <w:rsid w:val="009648A3"/>
    <w:rsid w:val="0096640F"/>
    <w:rsid w:val="009677D0"/>
    <w:rsid w:val="009678B3"/>
    <w:rsid w:val="00973940"/>
    <w:rsid w:val="009836BC"/>
    <w:rsid w:val="00987049"/>
    <w:rsid w:val="00987378"/>
    <w:rsid w:val="0099108A"/>
    <w:rsid w:val="009931F5"/>
    <w:rsid w:val="009932B7"/>
    <w:rsid w:val="00994777"/>
    <w:rsid w:val="0099718D"/>
    <w:rsid w:val="009A0780"/>
    <w:rsid w:val="009C3EFC"/>
    <w:rsid w:val="009C5D07"/>
    <w:rsid w:val="009F41A0"/>
    <w:rsid w:val="00A04802"/>
    <w:rsid w:val="00A11B49"/>
    <w:rsid w:val="00A1251E"/>
    <w:rsid w:val="00A20302"/>
    <w:rsid w:val="00A30B10"/>
    <w:rsid w:val="00A41E17"/>
    <w:rsid w:val="00A424B9"/>
    <w:rsid w:val="00A42508"/>
    <w:rsid w:val="00A502A3"/>
    <w:rsid w:val="00A54464"/>
    <w:rsid w:val="00A61B8C"/>
    <w:rsid w:val="00A64991"/>
    <w:rsid w:val="00AA2D3C"/>
    <w:rsid w:val="00AA792B"/>
    <w:rsid w:val="00AD10B8"/>
    <w:rsid w:val="00AD3EE0"/>
    <w:rsid w:val="00AD41B5"/>
    <w:rsid w:val="00AD6FD9"/>
    <w:rsid w:val="00AE5C13"/>
    <w:rsid w:val="00AF348B"/>
    <w:rsid w:val="00B0466D"/>
    <w:rsid w:val="00B211B1"/>
    <w:rsid w:val="00B26A1D"/>
    <w:rsid w:val="00B33E74"/>
    <w:rsid w:val="00B409A9"/>
    <w:rsid w:val="00B41812"/>
    <w:rsid w:val="00B54438"/>
    <w:rsid w:val="00B56EFE"/>
    <w:rsid w:val="00B62247"/>
    <w:rsid w:val="00B62844"/>
    <w:rsid w:val="00B76429"/>
    <w:rsid w:val="00B77913"/>
    <w:rsid w:val="00B84573"/>
    <w:rsid w:val="00B8488F"/>
    <w:rsid w:val="00B86C39"/>
    <w:rsid w:val="00B91884"/>
    <w:rsid w:val="00BC09B2"/>
    <w:rsid w:val="00BC7120"/>
    <w:rsid w:val="00BD294E"/>
    <w:rsid w:val="00C026A5"/>
    <w:rsid w:val="00C06B48"/>
    <w:rsid w:val="00C16BB1"/>
    <w:rsid w:val="00C17C11"/>
    <w:rsid w:val="00C304A7"/>
    <w:rsid w:val="00C30B32"/>
    <w:rsid w:val="00C373A5"/>
    <w:rsid w:val="00C423C9"/>
    <w:rsid w:val="00C60B19"/>
    <w:rsid w:val="00C62DF7"/>
    <w:rsid w:val="00C63A4C"/>
    <w:rsid w:val="00C63F72"/>
    <w:rsid w:val="00C92921"/>
    <w:rsid w:val="00C97C68"/>
    <w:rsid w:val="00CA72F0"/>
    <w:rsid w:val="00CC11BB"/>
    <w:rsid w:val="00CC677A"/>
    <w:rsid w:val="00CD6997"/>
    <w:rsid w:val="00CE1506"/>
    <w:rsid w:val="00CF283E"/>
    <w:rsid w:val="00D01BC4"/>
    <w:rsid w:val="00D2474B"/>
    <w:rsid w:val="00D32C1C"/>
    <w:rsid w:val="00D360E0"/>
    <w:rsid w:val="00D45B5C"/>
    <w:rsid w:val="00D50D79"/>
    <w:rsid w:val="00D57BA8"/>
    <w:rsid w:val="00D615F8"/>
    <w:rsid w:val="00D70F5B"/>
    <w:rsid w:val="00D74628"/>
    <w:rsid w:val="00D85847"/>
    <w:rsid w:val="00D9198C"/>
    <w:rsid w:val="00DA04C6"/>
    <w:rsid w:val="00DA7DD9"/>
    <w:rsid w:val="00DB33FC"/>
    <w:rsid w:val="00DB3DCB"/>
    <w:rsid w:val="00DC2758"/>
    <w:rsid w:val="00DD29EB"/>
    <w:rsid w:val="00DD5B27"/>
    <w:rsid w:val="00DF35AD"/>
    <w:rsid w:val="00E077BC"/>
    <w:rsid w:val="00E115CE"/>
    <w:rsid w:val="00E4520D"/>
    <w:rsid w:val="00E47B79"/>
    <w:rsid w:val="00E5062F"/>
    <w:rsid w:val="00E50B74"/>
    <w:rsid w:val="00E53F5F"/>
    <w:rsid w:val="00E56C90"/>
    <w:rsid w:val="00E57001"/>
    <w:rsid w:val="00E64693"/>
    <w:rsid w:val="00E7124A"/>
    <w:rsid w:val="00E82223"/>
    <w:rsid w:val="00E901F5"/>
    <w:rsid w:val="00EB2731"/>
    <w:rsid w:val="00EB412F"/>
    <w:rsid w:val="00EC3F26"/>
    <w:rsid w:val="00ED3BBF"/>
    <w:rsid w:val="00EE1DFF"/>
    <w:rsid w:val="00EE2073"/>
    <w:rsid w:val="00EE253E"/>
    <w:rsid w:val="00EE6B53"/>
    <w:rsid w:val="00EF3683"/>
    <w:rsid w:val="00F140A0"/>
    <w:rsid w:val="00F2114C"/>
    <w:rsid w:val="00F223D5"/>
    <w:rsid w:val="00F32E99"/>
    <w:rsid w:val="00F3502A"/>
    <w:rsid w:val="00F377D3"/>
    <w:rsid w:val="00F45935"/>
    <w:rsid w:val="00F51A9E"/>
    <w:rsid w:val="00F56357"/>
    <w:rsid w:val="00F60C0E"/>
    <w:rsid w:val="00F611F3"/>
    <w:rsid w:val="00F752F7"/>
    <w:rsid w:val="00F91AA1"/>
    <w:rsid w:val="00FA70C2"/>
    <w:rsid w:val="00FB0701"/>
    <w:rsid w:val="00FB5FFC"/>
    <w:rsid w:val="00FB7013"/>
    <w:rsid w:val="00FC5036"/>
    <w:rsid w:val="00FE0585"/>
    <w:rsid w:val="00FF0C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DEDDA"/>
  <w15:chartTrackingRefBased/>
  <w15:docId w15:val="{370C23A0-0D8F-4522-87E6-CA2737971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F5B"/>
  </w:style>
  <w:style w:type="paragraph" w:styleId="Heading1">
    <w:name w:val="heading 1"/>
    <w:basedOn w:val="Normal"/>
    <w:next w:val="Normal"/>
    <w:link w:val="Heading1Char"/>
    <w:uiPriority w:val="9"/>
    <w:qFormat/>
    <w:rsid w:val="00E7124A"/>
    <w:pPr>
      <w:keepNext/>
      <w:keepLines/>
      <w:spacing w:before="240"/>
      <w:outlineLvl w:val="0"/>
    </w:pPr>
    <w:rPr>
      <w:rFonts w:ascii="Calibri" w:eastAsiaTheme="majorEastAsia" w:hAnsi="Calibri" w:cstheme="majorBidi"/>
      <w:b/>
      <w:color w:val="1F4E79" w:themeColor="accent5" w:themeShade="80"/>
      <w:sz w:val="32"/>
      <w:szCs w:val="32"/>
    </w:rPr>
  </w:style>
  <w:style w:type="paragraph" w:styleId="Heading2">
    <w:name w:val="heading 2"/>
    <w:basedOn w:val="Normal"/>
    <w:next w:val="Normal"/>
    <w:link w:val="Heading2Char"/>
    <w:uiPriority w:val="9"/>
    <w:unhideWhenUsed/>
    <w:qFormat/>
    <w:rsid w:val="002B5BD0"/>
    <w:pPr>
      <w:keepNext/>
      <w:keepLines/>
      <w:spacing w:before="40" w:after="100"/>
      <w:outlineLvl w:val="1"/>
    </w:pPr>
    <w:rPr>
      <w:rFonts w:ascii="Calibri" w:eastAsiaTheme="majorEastAsia" w:hAnsi="Calibri" w:cstheme="majorBidi"/>
      <w:color w:val="1F4E79" w:themeColor="accent5" w:themeShade="80"/>
      <w:sz w:val="26"/>
      <w:szCs w:val="26"/>
    </w:rPr>
  </w:style>
  <w:style w:type="paragraph" w:styleId="Heading3">
    <w:name w:val="heading 3"/>
    <w:basedOn w:val="Normal"/>
    <w:next w:val="BodyText"/>
    <w:link w:val="Heading3Char"/>
    <w:uiPriority w:val="9"/>
    <w:unhideWhenUsed/>
    <w:qFormat/>
    <w:rsid w:val="004440D8"/>
    <w:pPr>
      <w:keepNext/>
      <w:keepLines/>
      <w:spacing w:before="240"/>
      <w:ind w:left="720" w:hanging="720"/>
      <w:outlineLvl w:val="2"/>
    </w:pPr>
    <w:rPr>
      <w:rFonts w:asciiTheme="majorHAnsi" w:eastAsiaTheme="majorEastAsia" w:hAnsiTheme="majorHAnsi" w:cstheme="majorBidi"/>
      <w:color w:val="1F3763" w:themeColor="accent1" w:themeShade="7F"/>
      <w:sz w:val="22"/>
      <w:lang w:val="en-GB"/>
    </w:rPr>
  </w:style>
  <w:style w:type="paragraph" w:styleId="Heading4">
    <w:name w:val="heading 4"/>
    <w:basedOn w:val="Normal"/>
    <w:next w:val="Normal"/>
    <w:link w:val="Heading4Char"/>
    <w:uiPriority w:val="9"/>
    <w:unhideWhenUsed/>
    <w:qFormat/>
    <w:rsid w:val="004440D8"/>
    <w:pPr>
      <w:keepNext/>
      <w:keepLines/>
      <w:spacing w:before="120" w:after="80"/>
      <w:ind w:left="862" w:hanging="862"/>
      <w:outlineLvl w:val="3"/>
    </w:pPr>
    <w:rPr>
      <w:rFonts w:asciiTheme="majorHAnsi" w:eastAsiaTheme="majorEastAsia" w:hAnsiTheme="majorHAnsi" w:cstheme="majorBidi"/>
      <w:i/>
      <w:iCs/>
      <w:color w:val="2F5496" w:themeColor="accent1" w:themeShade="BF"/>
      <w:sz w:val="22"/>
      <w:lang w:val="en-GB"/>
    </w:rPr>
  </w:style>
  <w:style w:type="paragraph" w:styleId="Heading5">
    <w:name w:val="heading 5"/>
    <w:basedOn w:val="Normal"/>
    <w:next w:val="Normal"/>
    <w:link w:val="Heading5Char"/>
    <w:uiPriority w:val="9"/>
    <w:unhideWhenUsed/>
    <w:qFormat/>
    <w:rsid w:val="004440D8"/>
    <w:pPr>
      <w:keepNext/>
      <w:keepLines/>
      <w:spacing w:before="40"/>
      <w:ind w:left="1008" w:hanging="1008"/>
      <w:outlineLvl w:val="4"/>
    </w:pPr>
    <w:rPr>
      <w:rFonts w:asciiTheme="majorHAnsi" w:eastAsiaTheme="majorEastAsia" w:hAnsiTheme="majorHAnsi" w:cstheme="majorBidi"/>
      <w:color w:val="2F5496" w:themeColor="accent1" w:themeShade="BF"/>
      <w:sz w:val="22"/>
      <w:lang w:val="en-GB"/>
    </w:rPr>
  </w:style>
  <w:style w:type="paragraph" w:styleId="Heading6">
    <w:name w:val="heading 6"/>
    <w:basedOn w:val="Normal"/>
    <w:next w:val="Normal"/>
    <w:link w:val="Heading6Char"/>
    <w:uiPriority w:val="9"/>
    <w:semiHidden/>
    <w:unhideWhenUsed/>
    <w:qFormat/>
    <w:rsid w:val="004440D8"/>
    <w:pPr>
      <w:keepNext/>
      <w:keepLines/>
      <w:spacing w:before="40"/>
      <w:ind w:left="1152" w:hanging="1152"/>
      <w:outlineLvl w:val="5"/>
    </w:pPr>
    <w:rPr>
      <w:rFonts w:asciiTheme="majorHAnsi" w:eastAsiaTheme="majorEastAsia" w:hAnsiTheme="majorHAnsi" w:cstheme="majorBidi"/>
      <w:color w:val="1F3763" w:themeColor="accent1" w:themeShade="7F"/>
      <w:sz w:val="22"/>
      <w:lang w:val="en-GB"/>
    </w:rPr>
  </w:style>
  <w:style w:type="paragraph" w:styleId="Heading7">
    <w:name w:val="heading 7"/>
    <w:basedOn w:val="Normal"/>
    <w:next w:val="Normal"/>
    <w:link w:val="Heading7Char"/>
    <w:uiPriority w:val="9"/>
    <w:semiHidden/>
    <w:unhideWhenUsed/>
    <w:qFormat/>
    <w:rsid w:val="004440D8"/>
    <w:pPr>
      <w:keepNext/>
      <w:keepLines/>
      <w:spacing w:before="40"/>
      <w:ind w:left="1296" w:hanging="1296"/>
      <w:outlineLvl w:val="6"/>
    </w:pPr>
    <w:rPr>
      <w:rFonts w:asciiTheme="majorHAnsi" w:eastAsiaTheme="majorEastAsia" w:hAnsiTheme="majorHAnsi" w:cstheme="majorBidi"/>
      <w:i/>
      <w:iCs/>
      <w:color w:val="1F3763" w:themeColor="accent1" w:themeShade="7F"/>
      <w:sz w:val="22"/>
      <w:lang w:val="en-GB"/>
    </w:rPr>
  </w:style>
  <w:style w:type="paragraph" w:styleId="Heading8">
    <w:name w:val="heading 8"/>
    <w:basedOn w:val="Normal"/>
    <w:next w:val="Normal"/>
    <w:link w:val="Heading8Char"/>
    <w:uiPriority w:val="9"/>
    <w:semiHidden/>
    <w:unhideWhenUsed/>
    <w:qFormat/>
    <w:rsid w:val="004440D8"/>
    <w:pPr>
      <w:keepNext/>
      <w:keepLines/>
      <w:spacing w:before="40"/>
      <w:ind w:left="1440" w:hanging="14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4440D8"/>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24A"/>
    <w:rPr>
      <w:rFonts w:ascii="Calibri" w:eastAsiaTheme="majorEastAsia" w:hAnsi="Calibri" w:cstheme="majorBidi"/>
      <w:b/>
      <w:color w:val="1F4E79" w:themeColor="accent5" w:themeShade="80"/>
      <w:sz w:val="32"/>
      <w:szCs w:val="32"/>
    </w:rPr>
  </w:style>
  <w:style w:type="table" w:styleId="TableGrid">
    <w:name w:val="Table Grid"/>
    <w:basedOn w:val="TableNormal"/>
    <w:uiPriority w:val="39"/>
    <w:rsid w:val="00B41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39B3"/>
    <w:pPr>
      <w:tabs>
        <w:tab w:val="center" w:pos="4680"/>
        <w:tab w:val="right" w:pos="9360"/>
      </w:tabs>
    </w:pPr>
  </w:style>
  <w:style w:type="character" w:customStyle="1" w:styleId="HeaderChar">
    <w:name w:val="Header Char"/>
    <w:basedOn w:val="DefaultParagraphFont"/>
    <w:link w:val="Header"/>
    <w:uiPriority w:val="99"/>
    <w:rsid w:val="001B39B3"/>
  </w:style>
  <w:style w:type="paragraph" w:styleId="Footer">
    <w:name w:val="footer"/>
    <w:basedOn w:val="Normal"/>
    <w:link w:val="FooterChar"/>
    <w:uiPriority w:val="99"/>
    <w:unhideWhenUsed/>
    <w:rsid w:val="001B39B3"/>
    <w:pPr>
      <w:tabs>
        <w:tab w:val="center" w:pos="4680"/>
        <w:tab w:val="right" w:pos="9360"/>
      </w:tabs>
    </w:pPr>
  </w:style>
  <w:style w:type="character" w:customStyle="1" w:styleId="FooterChar">
    <w:name w:val="Footer Char"/>
    <w:basedOn w:val="DefaultParagraphFont"/>
    <w:link w:val="Footer"/>
    <w:uiPriority w:val="99"/>
    <w:rsid w:val="001B39B3"/>
  </w:style>
  <w:style w:type="character" w:customStyle="1" w:styleId="Heading2Char">
    <w:name w:val="Heading 2 Char"/>
    <w:basedOn w:val="DefaultParagraphFont"/>
    <w:link w:val="Heading2"/>
    <w:uiPriority w:val="9"/>
    <w:rsid w:val="002B5BD0"/>
    <w:rPr>
      <w:rFonts w:ascii="Calibri" w:eastAsiaTheme="majorEastAsia" w:hAnsi="Calibri" w:cstheme="majorBidi"/>
      <w:color w:val="1F4E79" w:themeColor="accent5" w:themeShade="80"/>
      <w:sz w:val="26"/>
      <w:szCs w:val="26"/>
    </w:rPr>
  </w:style>
  <w:style w:type="paragraph" w:customStyle="1" w:styleId="txt2">
    <w:name w:val="txt2"/>
    <w:basedOn w:val="Normal"/>
    <w:link w:val="txt2Carter"/>
    <w:qFormat/>
    <w:rsid w:val="000A56C2"/>
    <w:pPr>
      <w:spacing w:after="160" w:line="259" w:lineRule="auto"/>
    </w:pPr>
    <w:rPr>
      <w:b/>
      <w:sz w:val="18"/>
      <w:szCs w:val="22"/>
      <w:lang w:val="es-ES"/>
    </w:rPr>
  </w:style>
  <w:style w:type="character" w:customStyle="1" w:styleId="txt2Carter">
    <w:name w:val="txt2 Caráter"/>
    <w:basedOn w:val="DefaultParagraphFont"/>
    <w:link w:val="txt2"/>
    <w:rsid w:val="000A56C2"/>
    <w:rPr>
      <w:b/>
      <w:sz w:val="18"/>
      <w:szCs w:val="22"/>
      <w:lang w:val="es-ES"/>
    </w:rPr>
  </w:style>
  <w:style w:type="paragraph" w:styleId="TOCHeading">
    <w:name w:val="TOC Heading"/>
    <w:basedOn w:val="Heading1"/>
    <w:next w:val="Normal"/>
    <w:uiPriority w:val="39"/>
    <w:unhideWhenUsed/>
    <w:qFormat/>
    <w:rsid w:val="000A56C2"/>
    <w:pPr>
      <w:spacing w:before="480" w:line="276" w:lineRule="auto"/>
      <w:outlineLvl w:val="9"/>
    </w:pPr>
    <w:rPr>
      <w:b w:val="0"/>
      <w:bCs/>
      <w:sz w:val="28"/>
      <w:szCs w:val="28"/>
    </w:rPr>
  </w:style>
  <w:style w:type="paragraph" w:styleId="TOC1">
    <w:name w:val="toc 1"/>
    <w:basedOn w:val="Normal"/>
    <w:next w:val="Normal"/>
    <w:autoRedefine/>
    <w:uiPriority w:val="39"/>
    <w:unhideWhenUsed/>
    <w:rsid w:val="000A56C2"/>
    <w:pPr>
      <w:spacing w:before="120"/>
    </w:pPr>
    <w:rPr>
      <w:rFonts w:cstheme="minorHAnsi"/>
      <w:b/>
      <w:bCs/>
      <w:i/>
      <w:iCs/>
    </w:rPr>
  </w:style>
  <w:style w:type="paragraph" w:styleId="TOC2">
    <w:name w:val="toc 2"/>
    <w:basedOn w:val="Normal"/>
    <w:next w:val="Normal"/>
    <w:autoRedefine/>
    <w:uiPriority w:val="39"/>
    <w:unhideWhenUsed/>
    <w:rsid w:val="000A56C2"/>
    <w:pPr>
      <w:spacing w:before="120"/>
      <w:ind w:left="240"/>
    </w:pPr>
    <w:rPr>
      <w:rFonts w:cstheme="minorHAnsi"/>
      <w:b/>
      <w:bCs/>
      <w:sz w:val="22"/>
      <w:szCs w:val="22"/>
    </w:rPr>
  </w:style>
  <w:style w:type="character" w:styleId="Hyperlink">
    <w:name w:val="Hyperlink"/>
    <w:basedOn w:val="DefaultParagraphFont"/>
    <w:uiPriority w:val="99"/>
    <w:unhideWhenUsed/>
    <w:rsid w:val="000A56C2"/>
    <w:rPr>
      <w:color w:val="0563C1" w:themeColor="hyperlink"/>
      <w:u w:val="single"/>
    </w:rPr>
  </w:style>
  <w:style w:type="paragraph" w:styleId="TOC3">
    <w:name w:val="toc 3"/>
    <w:basedOn w:val="Normal"/>
    <w:next w:val="Normal"/>
    <w:autoRedefine/>
    <w:uiPriority w:val="39"/>
    <w:semiHidden/>
    <w:unhideWhenUsed/>
    <w:rsid w:val="000A56C2"/>
    <w:pPr>
      <w:ind w:left="480"/>
    </w:pPr>
    <w:rPr>
      <w:rFonts w:cstheme="minorHAnsi"/>
      <w:sz w:val="20"/>
      <w:szCs w:val="20"/>
    </w:rPr>
  </w:style>
  <w:style w:type="paragraph" w:styleId="TOC4">
    <w:name w:val="toc 4"/>
    <w:basedOn w:val="Normal"/>
    <w:next w:val="Normal"/>
    <w:autoRedefine/>
    <w:uiPriority w:val="39"/>
    <w:semiHidden/>
    <w:unhideWhenUsed/>
    <w:rsid w:val="000A56C2"/>
    <w:pPr>
      <w:ind w:left="720"/>
    </w:pPr>
    <w:rPr>
      <w:rFonts w:cstheme="minorHAnsi"/>
      <w:sz w:val="20"/>
      <w:szCs w:val="20"/>
    </w:rPr>
  </w:style>
  <w:style w:type="paragraph" w:styleId="TOC5">
    <w:name w:val="toc 5"/>
    <w:basedOn w:val="Normal"/>
    <w:next w:val="Normal"/>
    <w:autoRedefine/>
    <w:uiPriority w:val="39"/>
    <w:semiHidden/>
    <w:unhideWhenUsed/>
    <w:rsid w:val="000A56C2"/>
    <w:pPr>
      <w:ind w:left="960"/>
    </w:pPr>
    <w:rPr>
      <w:rFonts w:cstheme="minorHAnsi"/>
      <w:sz w:val="20"/>
      <w:szCs w:val="20"/>
    </w:rPr>
  </w:style>
  <w:style w:type="paragraph" w:styleId="TOC6">
    <w:name w:val="toc 6"/>
    <w:basedOn w:val="Normal"/>
    <w:next w:val="Normal"/>
    <w:autoRedefine/>
    <w:uiPriority w:val="39"/>
    <w:semiHidden/>
    <w:unhideWhenUsed/>
    <w:rsid w:val="000A56C2"/>
    <w:pPr>
      <w:ind w:left="1200"/>
    </w:pPr>
    <w:rPr>
      <w:rFonts w:cstheme="minorHAnsi"/>
      <w:sz w:val="20"/>
      <w:szCs w:val="20"/>
    </w:rPr>
  </w:style>
  <w:style w:type="paragraph" w:styleId="TOC7">
    <w:name w:val="toc 7"/>
    <w:basedOn w:val="Normal"/>
    <w:next w:val="Normal"/>
    <w:autoRedefine/>
    <w:uiPriority w:val="39"/>
    <w:semiHidden/>
    <w:unhideWhenUsed/>
    <w:rsid w:val="000A56C2"/>
    <w:pPr>
      <w:ind w:left="1440"/>
    </w:pPr>
    <w:rPr>
      <w:rFonts w:cstheme="minorHAnsi"/>
      <w:sz w:val="20"/>
      <w:szCs w:val="20"/>
    </w:rPr>
  </w:style>
  <w:style w:type="paragraph" w:styleId="TOC8">
    <w:name w:val="toc 8"/>
    <w:basedOn w:val="Normal"/>
    <w:next w:val="Normal"/>
    <w:autoRedefine/>
    <w:uiPriority w:val="39"/>
    <w:semiHidden/>
    <w:unhideWhenUsed/>
    <w:rsid w:val="000A56C2"/>
    <w:pPr>
      <w:ind w:left="1680"/>
    </w:pPr>
    <w:rPr>
      <w:rFonts w:cstheme="minorHAnsi"/>
      <w:sz w:val="20"/>
      <w:szCs w:val="20"/>
    </w:rPr>
  </w:style>
  <w:style w:type="paragraph" w:styleId="TOC9">
    <w:name w:val="toc 9"/>
    <w:basedOn w:val="Normal"/>
    <w:next w:val="Normal"/>
    <w:autoRedefine/>
    <w:uiPriority w:val="39"/>
    <w:semiHidden/>
    <w:unhideWhenUsed/>
    <w:rsid w:val="000A56C2"/>
    <w:pPr>
      <w:ind w:left="1920"/>
    </w:pPr>
    <w:rPr>
      <w:rFonts w:cstheme="minorHAnsi"/>
      <w:sz w:val="20"/>
      <w:szCs w:val="20"/>
    </w:rPr>
  </w:style>
  <w:style w:type="paragraph" w:styleId="ListParagraph">
    <w:name w:val="List Paragraph"/>
    <w:basedOn w:val="Normal"/>
    <w:uiPriority w:val="34"/>
    <w:qFormat/>
    <w:rsid w:val="0095721B"/>
    <w:pPr>
      <w:ind w:left="720"/>
      <w:contextualSpacing/>
    </w:pPr>
  </w:style>
  <w:style w:type="character" w:styleId="UnresolvedMention">
    <w:name w:val="Unresolved Mention"/>
    <w:basedOn w:val="DefaultParagraphFont"/>
    <w:uiPriority w:val="99"/>
    <w:semiHidden/>
    <w:unhideWhenUsed/>
    <w:rsid w:val="004374EC"/>
    <w:rPr>
      <w:color w:val="605E5C"/>
      <w:shd w:val="clear" w:color="auto" w:fill="E1DFDD"/>
    </w:rPr>
  </w:style>
  <w:style w:type="paragraph" w:styleId="Caption">
    <w:name w:val="caption"/>
    <w:basedOn w:val="Normal"/>
    <w:next w:val="Normal"/>
    <w:uiPriority w:val="35"/>
    <w:unhideWhenUsed/>
    <w:qFormat/>
    <w:rsid w:val="003C6388"/>
    <w:pPr>
      <w:spacing w:after="200"/>
    </w:pPr>
    <w:rPr>
      <w:i/>
      <w:iCs/>
      <w:color w:val="44546A" w:themeColor="text2"/>
      <w:sz w:val="18"/>
      <w:szCs w:val="18"/>
    </w:rPr>
  </w:style>
  <w:style w:type="paragraph" w:customStyle="1" w:styleId="Bottomcaption">
    <w:name w:val="Bottom caption"/>
    <w:basedOn w:val="Caption"/>
    <w:link w:val="BottomcaptionChar"/>
    <w:qFormat/>
    <w:rsid w:val="003C6388"/>
    <w:pPr>
      <w:keepNext/>
      <w:framePr w:w="9356" w:wrap="around" w:vAnchor="text" w:hAnchor="text" w:y="1"/>
      <w:spacing w:before="120" w:after="360"/>
      <w:jc w:val="right"/>
    </w:pPr>
    <w:rPr>
      <w:rFonts w:eastAsia="SimSun" w:cs="Cambria"/>
      <w:i w:val="0"/>
      <w:iCs w:val="0"/>
      <w:color w:val="808080" w:themeColor="background1" w:themeShade="80"/>
      <w:sz w:val="20"/>
      <w:szCs w:val="20"/>
      <w:lang w:val="lt-LT"/>
    </w:rPr>
  </w:style>
  <w:style w:type="character" w:customStyle="1" w:styleId="BottomcaptionChar">
    <w:name w:val="Bottom caption Char"/>
    <w:basedOn w:val="DefaultParagraphFont"/>
    <w:link w:val="Bottomcaption"/>
    <w:rsid w:val="003C6388"/>
    <w:rPr>
      <w:rFonts w:eastAsia="SimSun" w:cs="Cambria"/>
      <w:color w:val="808080" w:themeColor="background1" w:themeShade="80"/>
      <w:sz w:val="20"/>
      <w:szCs w:val="20"/>
      <w:lang w:val="lt-LT"/>
    </w:rPr>
  </w:style>
  <w:style w:type="table" w:customStyle="1" w:styleId="Civittatable">
    <w:name w:val="Civitta table"/>
    <w:basedOn w:val="TableNormal"/>
    <w:uiPriority w:val="99"/>
    <w:rsid w:val="003B6E97"/>
    <w:pPr>
      <w:spacing w:before="60" w:after="60"/>
    </w:pPr>
    <w:rPr>
      <w:rFonts w:eastAsia="SimSun" w:cs="Cambria"/>
      <w:bCs/>
      <w:sz w:val="20"/>
      <w:szCs w:val="22"/>
      <w:lang w:val="lt-LT"/>
    </w:rPr>
    <w:tblPr>
      <w:tblStyleRowBandSize w:val="1"/>
      <w:tblInd w:w="1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wordWrap/>
        <w:spacing w:beforeLines="0" w:before="60" w:beforeAutospacing="0" w:afterLines="0" w:after="60" w:afterAutospacing="0"/>
        <w:jc w:val="left"/>
      </w:pPr>
      <w:rPr>
        <w:rFonts w:asciiTheme="minorHAnsi" w:hAnsiTheme="minorHAnsi"/>
        <w:caps/>
        <w:smallCaps w:val="0"/>
        <w:color w:val="FFFFFF" w:themeColor="background1"/>
        <w:sz w:val="20"/>
      </w:rPr>
      <w:tblPr/>
      <w:trPr>
        <w:tblHeader/>
      </w:trPr>
      <w:tcPr>
        <w:shd w:val="clear" w:color="auto" w:fill="44546A" w:themeFill="text2"/>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paragraph" w:styleId="TableofFigures">
    <w:name w:val="table of figures"/>
    <w:basedOn w:val="Normal"/>
    <w:next w:val="Normal"/>
    <w:uiPriority w:val="99"/>
    <w:unhideWhenUsed/>
    <w:rsid w:val="003B6E97"/>
  </w:style>
  <w:style w:type="paragraph" w:styleId="NoSpacing">
    <w:name w:val="No Spacing"/>
    <w:uiPriority w:val="1"/>
    <w:qFormat/>
    <w:rsid w:val="00E7124A"/>
  </w:style>
  <w:style w:type="paragraph" w:styleId="BalloonText">
    <w:name w:val="Balloon Text"/>
    <w:basedOn w:val="Normal"/>
    <w:link w:val="BalloonTextChar"/>
    <w:uiPriority w:val="99"/>
    <w:semiHidden/>
    <w:unhideWhenUsed/>
    <w:rsid w:val="004D0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F30"/>
    <w:rPr>
      <w:rFonts w:ascii="Segoe UI" w:hAnsi="Segoe UI" w:cs="Segoe UI"/>
      <w:sz w:val="18"/>
      <w:szCs w:val="18"/>
    </w:rPr>
  </w:style>
  <w:style w:type="character" w:customStyle="1" w:styleId="Heading3Char">
    <w:name w:val="Heading 3 Char"/>
    <w:basedOn w:val="DefaultParagraphFont"/>
    <w:link w:val="Heading3"/>
    <w:uiPriority w:val="9"/>
    <w:rsid w:val="004440D8"/>
    <w:rPr>
      <w:rFonts w:asciiTheme="majorHAnsi" w:eastAsiaTheme="majorEastAsia" w:hAnsiTheme="majorHAnsi" w:cstheme="majorBidi"/>
      <w:color w:val="1F3763" w:themeColor="accent1" w:themeShade="7F"/>
      <w:sz w:val="22"/>
      <w:lang w:val="en-GB"/>
    </w:rPr>
  </w:style>
  <w:style w:type="character" w:customStyle="1" w:styleId="Heading4Char">
    <w:name w:val="Heading 4 Char"/>
    <w:basedOn w:val="DefaultParagraphFont"/>
    <w:link w:val="Heading4"/>
    <w:uiPriority w:val="9"/>
    <w:rsid w:val="004440D8"/>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uiPriority w:val="9"/>
    <w:rsid w:val="004440D8"/>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uiPriority w:val="9"/>
    <w:semiHidden/>
    <w:rsid w:val="004440D8"/>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uiPriority w:val="9"/>
    <w:semiHidden/>
    <w:rsid w:val="004440D8"/>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uiPriority w:val="9"/>
    <w:semiHidden/>
    <w:rsid w:val="004440D8"/>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4440D8"/>
    <w:rPr>
      <w:rFonts w:asciiTheme="majorHAnsi" w:eastAsiaTheme="majorEastAsia" w:hAnsiTheme="majorHAnsi" w:cstheme="majorBidi"/>
      <w:i/>
      <w:iCs/>
      <w:color w:val="272727" w:themeColor="text1" w:themeTint="D8"/>
      <w:sz w:val="21"/>
      <w:szCs w:val="21"/>
      <w:lang w:val="en-GB"/>
    </w:rPr>
  </w:style>
  <w:style w:type="paragraph" w:styleId="BodyText">
    <w:name w:val="Body Text"/>
    <w:basedOn w:val="Normal"/>
    <w:link w:val="BodyTextChar"/>
    <w:rsid w:val="004440D8"/>
    <w:pPr>
      <w:spacing w:before="120" w:after="80"/>
      <w:jc w:val="both"/>
    </w:pPr>
    <w:rPr>
      <w:rFonts w:eastAsia="Times New Roman" w:cs="Times New Roman"/>
      <w:spacing w:val="-5"/>
      <w:sz w:val="22"/>
      <w:szCs w:val="20"/>
      <w:lang w:val="en-GB"/>
    </w:rPr>
  </w:style>
  <w:style w:type="character" w:customStyle="1" w:styleId="BodyTextChar">
    <w:name w:val="Body Text Char"/>
    <w:basedOn w:val="DefaultParagraphFont"/>
    <w:link w:val="BodyText"/>
    <w:rsid w:val="004440D8"/>
    <w:rPr>
      <w:rFonts w:eastAsia="Times New Roman" w:cs="Times New Roman"/>
      <w:spacing w:val="-5"/>
      <w:sz w:val="22"/>
      <w:szCs w:val="20"/>
      <w:lang w:val="en-GB"/>
    </w:rPr>
  </w:style>
  <w:style w:type="paragraph" w:customStyle="1" w:styleId="Picture">
    <w:name w:val="Picture"/>
    <w:basedOn w:val="Normal"/>
    <w:next w:val="Caption"/>
    <w:qFormat/>
    <w:rsid w:val="004440D8"/>
    <w:pPr>
      <w:keepNext/>
      <w:spacing w:after="240"/>
      <w:jc w:val="center"/>
    </w:pPr>
    <w:rPr>
      <w:rFonts w:ascii="Times New Roman" w:eastAsia="Times New Roman" w:hAnsi="Times New Roman" w:cs="Times New Roman"/>
      <w:sz w:val="20"/>
      <w:szCs w:val="20"/>
      <w:lang w:val="en-GB" w:eastAsia="zh-TW"/>
    </w:rPr>
  </w:style>
  <w:style w:type="character" w:styleId="CommentReference">
    <w:name w:val="annotation reference"/>
    <w:basedOn w:val="DefaultParagraphFont"/>
    <w:uiPriority w:val="99"/>
    <w:semiHidden/>
    <w:unhideWhenUsed/>
    <w:rsid w:val="00F223D5"/>
    <w:rPr>
      <w:sz w:val="16"/>
      <w:szCs w:val="16"/>
    </w:rPr>
  </w:style>
  <w:style w:type="paragraph" w:styleId="CommentText">
    <w:name w:val="annotation text"/>
    <w:basedOn w:val="Normal"/>
    <w:link w:val="CommentTextChar"/>
    <w:uiPriority w:val="99"/>
    <w:semiHidden/>
    <w:unhideWhenUsed/>
    <w:rsid w:val="00F223D5"/>
    <w:rPr>
      <w:sz w:val="20"/>
      <w:szCs w:val="20"/>
    </w:rPr>
  </w:style>
  <w:style w:type="character" w:customStyle="1" w:styleId="CommentTextChar">
    <w:name w:val="Comment Text Char"/>
    <w:basedOn w:val="DefaultParagraphFont"/>
    <w:link w:val="CommentText"/>
    <w:uiPriority w:val="99"/>
    <w:semiHidden/>
    <w:rsid w:val="00F223D5"/>
    <w:rPr>
      <w:sz w:val="20"/>
      <w:szCs w:val="20"/>
    </w:rPr>
  </w:style>
  <w:style w:type="paragraph" w:styleId="CommentSubject">
    <w:name w:val="annotation subject"/>
    <w:basedOn w:val="CommentText"/>
    <w:next w:val="CommentText"/>
    <w:link w:val="CommentSubjectChar"/>
    <w:uiPriority w:val="99"/>
    <w:semiHidden/>
    <w:unhideWhenUsed/>
    <w:rsid w:val="00F223D5"/>
    <w:rPr>
      <w:b/>
      <w:bCs/>
    </w:rPr>
  </w:style>
  <w:style w:type="character" w:customStyle="1" w:styleId="CommentSubjectChar">
    <w:name w:val="Comment Subject Char"/>
    <w:basedOn w:val="CommentTextChar"/>
    <w:link w:val="CommentSubject"/>
    <w:uiPriority w:val="99"/>
    <w:semiHidden/>
    <w:rsid w:val="00F223D5"/>
    <w:rPr>
      <w:b/>
      <w:bCs/>
      <w:sz w:val="20"/>
      <w:szCs w:val="20"/>
    </w:rPr>
  </w:style>
  <w:style w:type="paragraph" w:styleId="Revision">
    <w:name w:val="Revision"/>
    <w:hidden/>
    <w:uiPriority w:val="99"/>
    <w:semiHidden/>
    <w:rsid w:val="00C60B19"/>
  </w:style>
  <w:style w:type="table" w:styleId="GridTable1Light-Accent5">
    <w:name w:val="Grid Table 1 Light Accent 5"/>
    <w:basedOn w:val="TableNormal"/>
    <w:uiPriority w:val="46"/>
    <w:rsid w:val="00D01BC4"/>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D01BC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047076">
      <w:bodyDiv w:val="1"/>
      <w:marLeft w:val="0"/>
      <w:marRight w:val="0"/>
      <w:marTop w:val="0"/>
      <w:marBottom w:val="0"/>
      <w:divBdr>
        <w:top w:val="none" w:sz="0" w:space="0" w:color="auto"/>
        <w:left w:val="none" w:sz="0" w:space="0" w:color="auto"/>
        <w:bottom w:val="none" w:sz="0" w:space="0" w:color="auto"/>
        <w:right w:val="none" w:sz="0" w:space="0" w:color="auto"/>
      </w:divBdr>
    </w:div>
    <w:div w:id="6203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newsroom/dae/document.cfm?doc_id=7032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ur-lex.europa.eu/legal-content/EN/TXT/?uri=COM%3A2018%3A434%3AF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NOC_ClusterName xmlns="2f6a910d-138e-42c1-8e8a-320c1b7cf3f7">H2020 DT-ICT-02-2018 CSA Robotics DIH</TNOC_ClusterName>
    <TNOC_ClusterId xmlns="2f6a910d-138e-42c1-8e8a-320c1b7cf3f7">060.32751</TNOC_ClusterId>
    <cf581d8792c646118aad2c2c4ecdfa8c xmlns="42cdaa9c-77bd-4290-b118-759e5244e9d8">
      <Terms xmlns="http://schemas.microsoft.com/office/infopath/2007/PartnerControls"/>
    </cf581d8792c646118aad2c2c4ecdfa8c>
    <lca20d149a844688b6abf34073d5c21d xmlns="42cdaa9c-77bd-4290-b118-759e5244e9d8">
      <Terms xmlns="http://schemas.microsoft.com/office/infopath/2007/PartnerControls"/>
    </lca20d149a844688b6abf34073d5c21d>
    <n2a7a23bcc2241cb9261f9a914c7c1bb xmlns="42cdaa9c-77bd-4290-b118-759e5244e9d8">
      <Terms xmlns="http://schemas.microsoft.com/office/infopath/2007/PartnerControls">
        <TermInfo xmlns="http://schemas.microsoft.com/office/infopath/2007/PartnerControls">
          <TermName xmlns="http://schemas.microsoft.com/office/infopath/2007/PartnerControls">TNO Internal</TermName>
          <TermId xmlns="http://schemas.microsoft.com/office/infopath/2007/PartnerControls">1a23c89f-ef54-4907-86fd-8242403ff722</TermId>
        </TermInfo>
      </Terms>
    </n2a7a23bcc2241cb9261f9a914c7c1bb>
    <bac4ab11065f4f6c809c820c57e320e5 xmlns="42cdaa9c-77bd-4290-b118-759e5244e9d8">
      <Terms xmlns="http://schemas.microsoft.com/office/infopath/2007/PartnerControls"/>
    </bac4ab11065f4f6c809c820c57e320e5>
    <TaxCatchAll xmlns="42cdaa9c-77bd-4290-b118-759e5244e9d8">
      <Value>5</Value>
      <Value>1</Value>
    </TaxCatchAll>
    <h15fbb78f4cb41d290e72f301ea2865f xmlns="42cdaa9c-77bd-4290-b118-759e5244e9d8">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fa11c4c9-105f-402c-bb40-9a56b4989397</TermId>
        </TermInfo>
      </Terms>
    </h15fbb78f4cb41d290e72f301ea2865f>
    <_dlc_DocId xmlns="42cdaa9c-77bd-4290-b118-759e5244e9d8">CH2CXAN7QTDZ-1902658128-33191</_dlc_DocId>
    <_dlc_DocIdUrl xmlns="42cdaa9c-77bd-4290-b118-759e5244e9d8">
      <Url>https://365tno.sharepoint.com/teams/P060.32751/_layouts/15/DocIdRedir.aspx?ID=CH2CXAN7QTDZ-1902658128-33191</Url>
      <Description>CH2CXAN7QTDZ-1902658128-33191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am Document" ma:contentTypeID="0x010100A35317DCC28344A7B82488658A034A5C01001608DF115074F74AA1CCFBF3347C2033" ma:contentTypeVersion="10" ma:contentTypeDescription=" " ma:contentTypeScope="" ma:versionID="fa9182b7dcab59df62f4eb6b134f7a4d">
  <xsd:schema xmlns:xsd="http://www.w3.org/2001/XMLSchema" xmlns:xs="http://www.w3.org/2001/XMLSchema" xmlns:p="http://schemas.microsoft.com/office/2006/metadata/properties" xmlns:ns2="42cdaa9c-77bd-4290-b118-759e5244e9d8" xmlns:ns3="2f6a910d-138e-42c1-8e8a-320c1b7cf3f7" xmlns:ns5="8a5123c9-6fdd-4568-a27c-d78641a7ec8f" targetNamespace="http://schemas.microsoft.com/office/2006/metadata/properties" ma:root="true" ma:fieldsID="885fe77343fb70f79a424aec36e7b301" ns2:_="" ns3:_="" ns5:_="">
    <xsd:import namespace="42cdaa9c-77bd-4290-b118-759e5244e9d8"/>
    <xsd:import namespace="2f6a910d-138e-42c1-8e8a-320c1b7cf3f7"/>
    <xsd:import namespace="8a5123c9-6fdd-4568-a27c-d78641a7ec8f"/>
    <xsd:element name="properties">
      <xsd:complexType>
        <xsd:sequence>
          <xsd:element name="documentManagement">
            <xsd:complexType>
              <xsd:all>
                <xsd:element ref="ns2:_dlc_DocId" minOccurs="0"/>
                <xsd:element ref="ns2:_dlc_DocIdUrl" minOccurs="0"/>
                <xsd:element ref="ns2:_dlc_DocIdPersistId" minOccurs="0"/>
                <xsd:element ref="ns3:TNOC_ClusterName" minOccurs="0"/>
                <xsd:element ref="ns3:TNOC_ClusterId" minOccurs="0"/>
                <xsd:element ref="ns2:h15fbb78f4cb41d290e72f301ea2865f" minOccurs="0"/>
                <xsd:element ref="ns2:TaxCatchAll" minOccurs="0"/>
                <xsd:element ref="ns2:TaxCatchAllLabel" minOccurs="0"/>
                <xsd:element ref="ns2:n2a7a23bcc2241cb9261f9a914c7c1bb" minOccurs="0"/>
                <xsd:element ref="ns2:lca20d149a844688b6abf34073d5c21d" minOccurs="0"/>
                <xsd:element ref="ns2:cf581d8792c646118aad2c2c4ecdfa8c" minOccurs="0"/>
                <xsd:element ref="ns2:bac4ab11065f4f6c809c820c57e320e5"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daa9c-77bd-4290-b118-759e5244e9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15fbb78f4cb41d290e72f301ea2865f" ma:index="13" nillable="true" ma:taxonomy="true" ma:internalName="h15fbb78f4cb41d290e72f301ea2865f" ma:taxonomyFieldName="TNOC_ClusterType" ma:displayName="Cluster type" ma:default="1;#Project|fa11c4c9-105f-402c-bb40-9a56b4989397" ma:fieldId="{115fbb78-f4cb-41d2-90e7-2f301ea2865f}" ma:sspId="7378aa68-586f-4892-bb77-0985b40f41a6" ma:termSetId="e7feef8e-5ede-44cd-b7d5-7ed7dacef0b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5c4d400-1413-427a-8a36-81c670a7201e}" ma:internalName="TaxCatchAll" ma:showField="CatchAllData" ma:web="42cdaa9c-77bd-4290-b118-759e5244e9d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5c4d400-1413-427a-8a36-81c670a7201e}" ma:internalName="TaxCatchAllLabel" ma:readOnly="true" ma:showField="CatchAllDataLabel" ma:web="42cdaa9c-77bd-4290-b118-759e5244e9d8">
      <xsd:complexType>
        <xsd:complexContent>
          <xsd:extension base="dms:MultiChoiceLookup">
            <xsd:sequence>
              <xsd:element name="Value" type="dms:Lookup" maxOccurs="unbounded" minOccurs="0" nillable="true"/>
            </xsd:sequence>
          </xsd:extension>
        </xsd:complexContent>
      </xsd:complexType>
    </xsd:element>
    <xsd:element name="n2a7a23bcc2241cb9261f9a914c7c1bb" ma:index="17" nillable="true" ma:taxonomy="true" ma:internalName="n2a7a23bcc2241cb9261f9a914c7c1bb" ma:taxonomyFieldName="TNOC_DocumentClassification" ma:displayName="Document classification" ma:default="5;#TNO Internal|1a23c89f-ef54-4907-86fd-8242403ff722" ma:fieldId="{72a7a23b-cc22-41cb-9261-f9a914c7c1bb}" ma:sspId="7378aa68-586f-4892-bb77-0985b40f41a6" ma:termSetId="ff8f31fd-7572-41dc-9fe4-bd4c6d280f39" ma:anchorId="00000000-0000-0000-0000-000000000000" ma:open="false" ma:isKeyword="false">
      <xsd:complexType>
        <xsd:sequence>
          <xsd:element ref="pc:Terms" minOccurs="0" maxOccurs="1"/>
        </xsd:sequence>
      </xsd:complexType>
    </xsd:element>
    <xsd:element name="lca20d149a844688b6abf34073d5c21d" ma:index="19" nillable="true" ma:taxonomy="true" ma:internalName="lca20d149a844688b6abf34073d5c21d" ma:taxonomyFieldName="TNOC_DocumentType" ma:displayName="Document type" ma:fieldId="{5ca20d14-9a84-4688-b6ab-f34073d5c21d}" ma:sspId="7378aa68-586f-4892-bb77-0985b40f41a6" ma:termSetId="e8a13a9e-c4f3-4184-b8d9-8210abad4948" ma:anchorId="00000000-0000-0000-0000-000000000000" ma:open="false" ma:isKeyword="false">
      <xsd:complexType>
        <xsd:sequence>
          <xsd:element ref="pc:Terms" minOccurs="0" maxOccurs="1"/>
        </xsd:sequence>
      </xsd:complexType>
    </xsd:element>
    <xsd:element name="cf581d8792c646118aad2c2c4ecdfa8c" ma:index="22" nillable="true" ma:taxonomy="true" ma:internalName="cf581d8792c646118aad2c2c4ecdfa8c" ma:taxonomyFieldName="TNOC_DocumentSetType" ma:displayName="Document set type" ma:readOnly="false" ma:fieldId="{cf581d87-92c6-4611-8aad-2c2c4ecdfa8c}" ma:sspId="7378aa68-586f-4892-bb77-0985b40f41a6" ma:termSetId="a8d4306b-62bf-468f-9587-ff078c864327" ma:anchorId="00000000-0000-0000-0000-000000000000" ma:open="false" ma:isKeyword="false">
      <xsd:complexType>
        <xsd:sequence>
          <xsd:element ref="pc:Terms" minOccurs="0" maxOccurs="1"/>
        </xsd:sequence>
      </xsd:complexType>
    </xsd:element>
    <xsd:element name="bac4ab11065f4f6c809c820c57e320e5" ma:index="24" nillable="true" ma:taxonomy="true" ma:internalName="bac4ab11065f4f6c809c820c57e320e5" ma:taxonomyFieldName="TNOC_DocumentCategory" ma:displayName="Document category" ma:fieldId="{bac4ab11-065f-4f6c-809c-820c57e320e5}" ma:sspId="7378aa68-586f-4892-bb77-0985b40f41a6" ma:termSetId="94d42b6a-4155-4fa6-95e9-087bc306ceb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6a910d-138e-42c1-8e8a-320c1b7cf3f7" elementFormDefault="qualified">
    <xsd:import namespace="http://schemas.microsoft.com/office/2006/documentManagement/types"/>
    <xsd:import namespace="http://schemas.microsoft.com/office/infopath/2007/PartnerControls"/>
    <xsd:element name="TNOC_ClusterName" ma:index="11" nillable="true" ma:displayName="Cluster name" ma:default="H2020 DT-ICT-02-2018 CSA Robotics DIH" ma:internalName="TNOC_ClusterName">
      <xsd:simpleType>
        <xsd:restriction base="dms:Text">
          <xsd:maxLength value="255"/>
        </xsd:restriction>
      </xsd:simpleType>
    </xsd:element>
    <xsd:element name="TNOC_ClusterId" ma:index="12" nillable="true" ma:displayName="Cluster ID" ma:default="060.32751" ma:internalName="TNOC_Clus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5123c9-6fdd-4568-a27c-d78641a7ec8f"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3D12DA2-9448-4EF9-83F9-E1E27D6D8ED1}">
  <ds:schemaRefs>
    <ds:schemaRef ds:uri="http://schemas.microsoft.com/office/2006/metadata/properties"/>
    <ds:schemaRef ds:uri="http://schemas.microsoft.com/office/infopath/2007/PartnerControls"/>
    <ds:schemaRef ds:uri="2f6a910d-138e-42c1-8e8a-320c1b7cf3f7"/>
    <ds:schemaRef ds:uri="42cdaa9c-77bd-4290-b118-759e5244e9d8"/>
  </ds:schemaRefs>
</ds:datastoreItem>
</file>

<file path=customXml/itemProps2.xml><?xml version="1.0" encoding="utf-8"?>
<ds:datastoreItem xmlns:ds="http://schemas.openxmlformats.org/officeDocument/2006/customXml" ds:itemID="{346AC790-7F5C-4E9D-B44D-A4F92EBE0E01}">
  <ds:schemaRefs>
    <ds:schemaRef ds:uri="http://schemas.openxmlformats.org/officeDocument/2006/bibliography"/>
  </ds:schemaRefs>
</ds:datastoreItem>
</file>

<file path=customXml/itemProps3.xml><?xml version="1.0" encoding="utf-8"?>
<ds:datastoreItem xmlns:ds="http://schemas.openxmlformats.org/officeDocument/2006/customXml" ds:itemID="{C3E53035-872C-4C6E-BE60-EFE0735400E4}">
  <ds:schemaRefs>
    <ds:schemaRef ds:uri="http://schemas.microsoft.com/sharepoint/v3/contenttype/forms"/>
  </ds:schemaRefs>
</ds:datastoreItem>
</file>

<file path=customXml/itemProps4.xml><?xml version="1.0" encoding="utf-8"?>
<ds:datastoreItem xmlns:ds="http://schemas.openxmlformats.org/officeDocument/2006/customXml" ds:itemID="{4317F176-3D97-42F9-83EB-3A9349552C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daa9c-77bd-4290-b118-759e5244e9d8"/>
    <ds:schemaRef ds:uri="2f6a910d-138e-42c1-8e8a-320c1b7cf3f7"/>
    <ds:schemaRef ds:uri="8a5123c9-6fdd-4568-a27c-d78641a7e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C50BC9-5152-41B8-92F3-504AADBC97D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Bisset</dc:creator>
  <cp:keywords/>
  <dc:description/>
  <cp:lastModifiedBy>David Bisset</cp:lastModifiedBy>
  <cp:revision>3</cp:revision>
  <dcterms:created xsi:type="dcterms:W3CDTF">2021-04-29T13:27:00Z</dcterms:created>
  <dcterms:modified xsi:type="dcterms:W3CDTF">2021-04-29T14:02:00Z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0x010100A35317DCC28344A7B82488658A034A5C01001608DF115074F74AA1CCFBF3347C2033</vt:lpwstr>
  </property>
  <property fmtid="{D5CDD505-2E9C-101B-9397-08002B2CF9AE}" pid="3" name="TNOC_DocumentClassification">
    <vt:lpwstr>5;#TNO Internal|1a23c89f-ef54-4907-86fd-8242403ff722</vt:lpwstr>
  </property>
  <property fmtid="{D5CDD505-2E9C-101B-9397-08002B2CF9AE}" pid="4" name="TNOC_DocumentType">
    <vt:lpwstr/>
  </property>
  <property fmtid="{D5CDD505-2E9C-101B-9397-08002B2CF9AE}" pid="5" name="TNOC_DocumentCategory">
    <vt:lpwstr/>
  </property>
  <property fmtid="{D5CDD505-2E9C-101B-9397-08002B2CF9AE}" pid="6" name="TNOC_ClusterType">
    <vt:lpwstr>1;#Project|fa11c4c9-105f-402c-bb40-9a56b4989397</vt:lpwstr>
  </property>
  <property fmtid="{D5CDD505-2E9C-101B-9397-08002B2CF9AE}" pid="7" name="TNOC_DocumentSetType">
    <vt:lpwstr/>
  </property>
  <property fmtid="{D5CDD505-2E9C-101B-9397-08002B2CF9AE}" pid="8" name="_dlc_DocIdItemGuid">
    <vt:lpwstr>de72dad8-9dc5-4b15-a97a-cfabe6884398</vt:lpwstr>
  </property>
</Properties>
</file>